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77777777" w:rsidR="00860108" w:rsidRDefault="00860108" w:rsidP="00860108">
      <w:pPr>
        <w:spacing w:after="0"/>
      </w:pPr>
      <w:bookmarkStart w:id="0" w:name="_Hlk186195659"/>
      <w:bookmarkEnd w:id="0"/>
      <w:r>
        <w:t xml:space="preserve">                        </w:t>
      </w:r>
      <w:r w:rsidRPr="00235DA8">
        <w:rPr>
          <w:noProof/>
        </w:rPr>
        <w:drawing>
          <wp:inline distT="0" distB="0" distL="0" distR="0" wp14:anchorId="587555CE" wp14:editId="2869ACC9">
            <wp:extent cx="581025" cy="866775"/>
            <wp:effectExtent l="0" t="0" r="9525" b="9525"/>
            <wp:docPr id="4" name="Picture 4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4395F" w14:textId="321D46B4" w:rsidR="00860108" w:rsidRPr="007D1A3E" w:rsidRDefault="00860108" w:rsidP="00860108">
      <w:pPr>
        <w:tabs>
          <w:tab w:val="center" w:pos="1980"/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7D1A3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     </w:t>
      </w:r>
      <w:proofErr w:type="spellStart"/>
      <w:r w:rsidRPr="007D1A3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Република</w:t>
      </w:r>
      <w:proofErr w:type="spellEnd"/>
      <w:r w:rsidRPr="007D1A3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7D1A3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Србија</w:t>
      </w:r>
      <w:proofErr w:type="spellEnd"/>
    </w:p>
    <w:p w14:paraId="7219D610" w14:textId="282E4521" w:rsidR="00860108" w:rsidRPr="007D1A3E" w:rsidRDefault="00860108" w:rsidP="00860108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DA8">
        <w:rPr>
          <w:b/>
        </w:rPr>
        <w:t xml:space="preserve">             </w:t>
      </w:r>
      <w:r w:rsidRPr="007D1A3E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МИНИСТАРСТВО </w:t>
      </w:r>
    </w:p>
    <w:p w14:paraId="64361ADF" w14:textId="40A0D583" w:rsidR="00860108" w:rsidRDefault="00860108" w:rsidP="00860108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b/>
          <w:lang w:val="sr-Cyrl-CS"/>
        </w:rPr>
        <w:t xml:space="preserve"> </w:t>
      </w:r>
      <w:r w:rsidR="00FC48CC">
        <w:rPr>
          <w:b/>
          <w:lang w:val="sr-Cyrl-CS"/>
        </w:rPr>
        <w:t xml:space="preserve">        </w:t>
      </w:r>
      <w:r w:rsidR="00CC74EF">
        <w:rPr>
          <w:b/>
          <w:lang w:val="sr-Cyrl-CS"/>
        </w:rPr>
        <w:t xml:space="preserve">   </w:t>
      </w:r>
      <w:r w:rsidRPr="007D1A3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ИНФОРМИСАЊ</w:t>
      </w:r>
      <w:r w:rsidR="00FC48C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И </w:t>
      </w:r>
    </w:p>
    <w:p w14:paraId="186A4EA7" w14:textId="2FE20C0E" w:rsidR="00FC48CC" w:rsidRPr="007D1A3E" w:rsidRDefault="00FC48CC" w:rsidP="00860108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CC74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ТЕЛЕКОМУНИКАЦИЈА</w:t>
      </w:r>
    </w:p>
    <w:p w14:paraId="0AB1CEFB" w14:textId="4909A5E4" w:rsidR="00860108" w:rsidRDefault="00860108" w:rsidP="00860108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b/>
          <w:lang w:val="sr-Latn-CS"/>
        </w:rPr>
        <w:t xml:space="preserve">       </w:t>
      </w:r>
      <w:r w:rsidR="00EE51F0">
        <w:rPr>
          <w:b/>
          <w:lang w:val="sr-Cyrl-RS"/>
        </w:rPr>
        <w:t xml:space="preserve">                </w:t>
      </w:r>
      <w:r>
        <w:rPr>
          <w:b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Београ</w:t>
      </w:r>
      <w:r w:rsidR="00CC74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</w:t>
      </w:r>
    </w:p>
    <w:p w14:paraId="529340D5" w14:textId="77777777" w:rsidR="00860108" w:rsidRDefault="00860108" w:rsidP="00860108">
      <w:pPr>
        <w:pStyle w:val="NoSpacing"/>
        <w:rPr>
          <w:rFonts w:ascii="Cambria" w:hAnsi="Cambria"/>
          <w:sz w:val="72"/>
          <w:szCs w:val="72"/>
        </w:rPr>
      </w:pPr>
    </w:p>
    <w:p w14:paraId="762AFF25" w14:textId="77777777" w:rsidR="00860108" w:rsidRDefault="00860108" w:rsidP="00860108">
      <w:pPr>
        <w:pStyle w:val="NoSpacing"/>
        <w:rPr>
          <w:rFonts w:ascii="Cambria" w:hAnsi="Cambria"/>
          <w:sz w:val="72"/>
          <w:szCs w:val="72"/>
        </w:rPr>
      </w:pPr>
    </w:p>
    <w:p w14:paraId="6A8B317D" w14:textId="77777777" w:rsidR="00860108" w:rsidRDefault="00860108" w:rsidP="00860108">
      <w:pPr>
        <w:pStyle w:val="NoSpacing"/>
        <w:rPr>
          <w:rFonts w:ascii="Cambria" w:hAnsi="Cambria"/>
          <w:sz w:val="72"/>
          <w:szCs w:val="72"/>
        </w:rPr>
      </w:pPr>
    </w:p>
    <w:p w14:paraId="78F67CC5" w14:textId="77777777" w:rsidR="00860108" w:rsidRDefault="00860108" w:rsidP="00860108">
      <w:pPr>
        <w:pStyle w:val="NoSpacing"/>
        <w:jc w:val="center"/>
        <w:rPr>
          <w:rFonts w:ascii="Cambria" w:hAnsi="Cambria"/>
          <w:sz w:val="72"/>
          <w:szCs w:val="72"/>
        </w:rPr>
      </w:pPr>
    </w:p>
    <w:p w14:paraId="7534FD11" w14:textId="77777777" w:rsidR="00256E55" w:rsidRDefault="00256E55" w:rsidP="000C0D78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EF5E6B" w14:textId="290AB0C1" w:rsidR="00860108" w:rsidRPr="000C0D78" w:rsidRDefault="00860108" w:rsidP="000C0D78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Pr="006409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РЕАЛИЗАЦИЈИ </w:t>
      </w:r>
      <w:r w:rsidR="00DF0386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="00DF0386" w:rsidRPr="00E06C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ЈЕКАТА ПОДРЖАНИХ ПУТЕМ </w:t>
      </w:r>
      <w:r w:rsidR="00DF038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ПОЈЕДИНАЧНИХ </w:t>
      </w:r>
      <w:r w:rsidR="00D479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ДАВАЊА </w:t>
      </w:r>
      <w:r w:rsidRPr="006409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</w:t>
      </w:r>
      <w:r w:rsidRPr="008C7418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8C7418" w:rsidRPr="008C741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B64B7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 w:rsidRPr="008C741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6409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ГОДИНИ</w:t>
      </w:r>
    </w:p>
    <w:p w14:paraId="3A060EA1" w14:textId="77777777" w:rsidR="00860108" w:rsidRPr="00F60BDF" w:rsidRDefault="00860108" w:rsidP="00F60BDF"/>
    <w:p w14:paraId="156C1593" w14:textId="77777777" w:rsidR="00860108" w:rsidRPr="00F60BDF" w:rsidRDefault="00860108" w:rsidP="00F60BDF"/>
    <w:p w14:paraId="6E846F22" w14:textId="77777777" w:rsidR="00860108" w:rsidRPr="00F60BDF" w:rsidRDefault="00860108" w:rsidP="00F60BDF"/>
    <w:p w14:paraId="69A8572C" w14:textId="77777777" w:rsidR="00860108" w:rsidRPr="00F60BDF" w:rsidRDefault="00860108" w:rsidP="00F60BDF"/>
    <w:p w14:paraId="7DE6CB36" w14:textId="77777777" w:rsidR="00930CD8" w:rsidRPr="00F60BDF" w:rsidRDefault="000C0D78" w:rsidP="00F60BDF"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F60BDF"/>
    <w:p w14:paraId="152A4882" w14:textId="77777777" w:rsidR="00930CD8" w:rsidRPr="00F60BDF" w:rsidRDefault="00930CD8" w:rsidP="00F60BDF"/>
    <w:p w14:paraId="4C994B72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5A8590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0C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FC4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1857F5AE" w:rsidR="00930CD8" w:rsidRPr="006E3AAC" w:rsidRDefault="00930CD8" w:rsidP="00256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Децембар </w:t>
      </w:r>
      <w:r w:rsidR="00860108" w:rsidRPr="00E62688">
        <w:rPr>
          <w:rFonts w:ascii="Times New Roman" w:hAnsi="Times New Roman" w:cs="Times New Roman"/>
          <w:b/>
          <w:sz w:val="24"/>
          <w:szCs w:val="24"/>
        </w:rPr>
        <w:t>20</w:t>
      </w:r>
      <w:r w:rsidR="00860108" w:rsidRPr="008C7418">
        <w:rPr>
          <w:rFonts w:ascii="Times New Roman" w:hAnsi="Times New Roman" w:cs="Times New Roman"/>
          <w:b/>
          <w:sz w:val="24"/>
          <w:szCs w:val="24"/>
        </w:rPr>
        <w:t>2</w:t>
      </w:r>
      <w:r w:rsidR="000B64B7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860108" w:rsidRPr="00E6268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60108" w:rsidRPr="00E62688">
        <w:rPr>
          <w:rFonts w:ascii="Times New Roman" w:hAnsi="Times New Roman" w:cs="Times New Roman"/>
          <w:b/>
          <w:sz w:val="24"/>
          <w:szCs w:val="24"/>
        </w:rPr>
        <w:t>годин</w:t>
      </w:r>
      <w:proofErr w:type="spellEnd"/>
      <w:r w:rsidR="00FC48CC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601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044B79" w14:textId="51ACAA0A" w:rsidR="00860108" w:rsidRPr="00D84BA3" w:rsidRDefault="000A0A1A" w:rsidP="00032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A0A1A">
        <w:rPr>
          <w:rFonts w:ascii="Times New Roman" w:hAnsi="Times New Roman" w:cs="Times New Roman"/>
          <w:sz w:val="24"/>
          <w:szCs w:val="24"/>
        </w:rPr>
        <w:lastRenderedPageBreak/>
        <w:t>Министарство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телекомуникација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</w:t>
      </w:r>
      <w:r w:rsidR="00FC0E6D">
        <w:rPr>
          <w:rFonts w:ascii="Times New Roman" w:hAnsi="Times New Roman" w:cs="Times New Roman"/>
          <w:sz w:val="24"/>
          <w:szCs w:val="24"/>
          <w:lang w:val="sr-Cyrl-RS"/>
        </w:rPr>
        <w:t xml:space="preserve">основу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0A1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A0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BA3">
        <w:rPr>
          <w:rFonts w:ascii="Times New Roman" w:hAnsi="Times New Roman" w:cs="Times New Roman"/>
          <w:sz w:val="24"/>
          <w:szCs w:val="24"/>
        </w:rPr>
        <w:t>информисањa</w:t>
      </w:r>
      <w:proofErr w:type="spellEnd"/>
      <w:r w:rsidRPr="00D84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BA3">
        <w:rPr>
          <w:rFonts w:ascii="Times New Roman" w:hAnsi="Times New Roman" w:cs="Times New Roman"/>
          <w:sz w:val="24"/>
          <w:szCs w:val="24"/>
        </w:rPr>
        <w:t>припремило</w:t>
      </w:r>
      <w:proofErr w:type="spellEnd"/>
      <w:r w:rsidRPr="00D84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BA3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D84BA3">
        <w:rPr>
          <w:rFonts w:ascii="Times New Roman" w:hAnsi="Times New Roman" w:cs="Times New Roman"/>
          <w:sz w:val="24"/>
          <w:szCs w:val="24"/>
        </w:rPr>
        <w:t xml:space="preserve"> о </w:t>
      </w:r>
      <w:r w:rsidR="00E06C24" w:rsidRPr="00D84BA3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реализацији </w:t>
      </w:r>
      <w:r w:rsidR="00A021A6" w:rsidRPr="00D84BA3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</w:t>
      </w:r>
      <w:r w:rsidR="00E02C4E" w:rsidRPr="00D84BA3">
        <w:rPr>
          <w:rFonts w:ascii="Times New Roman" w:hAnsi="Times New Roman" w:cs="Times New Roman"/>
          <w:sz w:val="24"/>
          <w:szCs w:val="24"/>
          <w:lang w:val="sr-Cyrl-RS"/>
        </w:rPr>
        <w:t xml:space="preserve">у области јавног информисања </w:t>
      </w:r>
      <w:r w:rsidR="001E5DCA" w:rsidRPr="00D84BA3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подржаних путем </w:t>
      </w:r>
      <w:r w:rsidR="00D479FF" w:rsidRPr="00D84BA3">
        <w:rPr>
          <w:rFonts w:ascii="Times New Roman" w:hAnsi="Times New Roman" w:cs="Times New Roman"/>
          <w:sz w:val="24"/>
          <w:szCs w:val="24"/>
          <w:lang w:val="sr-Cyrl-RS"/>
        </w:rPr>
        <w:t>појединачних давања</w:t>
      </w:r>
      <w:r w:rsidR="000324F8" w:rsidRPr="00D84B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D84BA3">
        <w:rPr>
          <w:rFonts w:ascii="Times New Roman" w:hAnsi="Times New Roman" w:cs="Times New Roman"/>
          <w:sz w:val="24"/>
          <w:szCs w:val="24"/>
        </w:rPr>
        <w:t>у 20</w:t>
      </w:r>
      <w:r w:rsidR="00CC74EF" w:rsidRPr="00D84BA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C386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60108" w:rsidRPr="00D84BA3">
        <w:rPr>
          <w:rFonts w:ascii="Times New Roman" w:hAnsi="Times New Roman" w:cs="Times New Roman"/>
          <w:sz w:val="24"/>
          <w:szCs w:val="24"/>
        </w:rPr>
        <w:t xml:space="preserve">. </w:t>
      </w:r>
      <w:r w:rsidR="004B3733" w:rsidRPr="00D84BA3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860108" w:rsidRPr="00D84BA3">
        <w:rPr>
          <w:rFonts w:ascii="Times New Roman" w:hAnsi="Times New Roman" w:cs="Times New Roman"/>
          <w:sz w:val="24"/>
          <w:szCs w:val="24"/>
        </w:rPr>
        <w:t>одини</w:t>
      </w:r>
      <w:proofErr w:type="spellEnd"/>
      <w:r w:rsidR="004B3733" w:rsidRPr="00D84BA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0108" w:rsidRPr="00D84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4B67F" w14:textId="77777777" w:rsidR="007B1CF0" w:rsidRDefault="007B1CF0" w:rsidP="00860108">
      <w:pPr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14:paraId="49E3E770" w14:textId="77777777" w:rsidR="00D44BA4" w:rsidRPr="00C97C10" w:rsidRDefault="00D44BA4" w:rsidP="0086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125C7A28" w:rsidR="00860108" w:rsidRPr="00FA58EA" w:rsidRDefault="00860108" w:rsidP="0086010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58EA">
        <w:rPr>
          <w:rFonts w:ascii="Times New Roman" w:hAnsi="Times New Roman" w:cs="Times New Roman"/>
          <w:b/>
          <w:sz w:val="24"/>
          <w:szCs w:val="24"/>
        </w:rPr>
        <w:t>I</w:t>
      </w:r>
      <w:r w:rsidRPr="00FA58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</w:t>
      </w:r>
      <w:r w:rsidRPr="004B7A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подаци о </w:t>
      </w:r>
      <w:r w:rsidR="00AD5BAD" w:rsidRPr="004B7A93">
        <w:rPr>
          <w:rFonts w:ascii="Times New Roman" w:hAnsi="Times New Roman" w:cs="Times New Roman"/>
          <w:b/>
          <w:sz w:val="24"/>
          <w:szCs w:val="24"/>
          <w:lang w:val="ru-RU"/>
        </w:rPr>
        <w:t>појединачним давањима</w:t>
      </w:r>
    </w:p>
    <w:p w14:paraId="7C3AE561" w14:textId="77777777" w:rsidR="00D44BA4" w:rsidRDefault="00D44BA4" w:rsidP="001C3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E8B247" w14:textId="4732A042" w:rsidR="00672987" w:rsidRPr="009E35D8" w:rsidRDefault="00D479FF" w:rsidP="001C3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</w:t>
      </w:r>
      <w:r w:rsidR="00AD5BAD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информисања и телекомуникација </w:t>
      </w:r>
      <w:r w:rsidR="00E55668" w:rsidRPr="00A13B40">
        <w:rPr>
          <w:rFonts w:ascii="Times New Roman" w:hAnsi="Times New Roman" w:cs="Times New Roman"/>
          <w:sz w:val="24"/>
          <w:szCs w:val="24"/>
          <w:lang w:val="sr-Cyrl-RS"/>
        </w:rPr>
        <w:t>подржа</w:t>
      </w:r>
      <w:r w:rsidR="00AD5BAD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ло је </w:t>
      </w:r>
      <w:r w:rsidR="00E55668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пројекте </w:t>
      </w:r>
      <w:r w:rsidR="00A31F53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r w:rsidRPr="00A13B40">
        <w:rPr>
          <w:rFonts w:ascii="Times New Roman" w:hAnsi="Times New Roman" w:cs="Times New Roman"/>
          <w:sz w:val="24"/>
          <w:szCs w:val="24"/>
          <w:lang w:val="sr-Cyrl-RS"/>
        </w:rPr>
        <w:t>појединачн</w:t>
      </w:r>
      <w:r w:rsidR="00A31F53" w:rsidRPr="00A13B4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 давања </w:t>
      </w:r>
      <w:r w:rsidR="00860108" w:rsidRPr="00A13B40">
        <w:rPr>
          <w:rFonts w:ascii="Times New Roman" w:hAnsi="Times New Roman" w:cs="Times New Roman"/>
          <w:sz w:val="24"/>
          <w:szCs w:val="24"/>
        </w:rPr>
        <w:t>у 20</w:t>
      </w:r>
      <w:r w:rsidR="008C7418" w:rsidRPr="00A13B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765B4" w:rsidRPr="00A13B40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60108" w:rsidRPr="00A13B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0108" w:rsidRPr="00A13B40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860108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60108" w:rsidRPr="00A13B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0108" w:rsidRPr="00A1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A3F" w:rsidRPr="00A13B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7C1176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 чл</w:t>
      </w:r>
      <w:r w:rsidR="001C2AB2" w:rsidRPr="00A13B40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 w:rsidR="007C1176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01ED" w:rsidRPr="00A13B40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7C1176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јавном информисању и медијима („Службени гласник РС”, бр. </w:t>
      </w:r>
      <w:r w:rsidR="001575A4" w:rsidRPr="00A13B40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7C1176" w:rsidRPr="00A13B4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75A4" w:rsidRPr="00A13B4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7C1176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1F59E4" w:rsidRPr="00A13B40">
        <w:rPr>
          <w:rFonts w:ascii="Times New Roman" w:hAnsi="Times New Roman" w:cs="Times New Roman"/>
          <w:sz w:val="24"/>
          <w:szCs w:val="24"/>
          <w:lang w:val="sr-Cyrl-RS"/>
        </w:rPr>
        <w:t>Правилника о суфинансирању пројеката за остваривање јавног интереса у области јавног информисања („Службени гласник РС”, бр.</w:t>
      </w:r>
      <w:r w:rsidR="00BB65F9" w:rsidRPr="00A13B40">
        <w:rPr>
          <w:rFonts w:ascii="Times New Roman" w:hAnsi="Times New Roman" w:cs="Times New Roman"/>
          <w:sz w:val="24"/>
          <w:szCs w:val="24"/>
          <w:lang w:val="sr-Cyrl-RS"/>
        </w:rPr>
        <w:t>6/24 и 106/24</w:t>
      </w:r>
      <w:r w:rsidR="001F59E4" w:rsidRPr="00A13B4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92B52" w:rsidRPr="00A13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C303D" w:rsidRPr="00A13B40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="001C3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303D" w:rsidRPr="001C303D">
        <w:rPr>
          <w:rFonts w:ascii="Times New Roman" w:hAnsi="Times New Roman" w:cs="Times New Roman"/>
          <w:sz w:val="24"/>
          <w:szCs w:val="24"/>
          <w:lang w:val="sr-Cyrl-RS"/>
        </w:rPr>
        <w:t>о расписивању конкурса за суфинансирање пројеката</w:t>
      </w:r>
      <w:r w:rsidR="001C3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303D" w:rsidRPr="001C303D">
        <w:rPr>
          <w:rFonts w:ascii="Times New Roman" w:hAnsi="Times New Roman" w:cs="Times New Roman"/>
          <w:sz w:val="24"/>
          <w:szCs w:val="24"/>
          <w:lang w:val="sr-Cyrl-RS"/>
        </w:rPr>
        <w:t>у области јавног информисања у 2024. години</w:t>
      </w:r>
      <w:r w:rsidR="001C3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26AE" w:rsidRPr="009E35D8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426AE" w:rsidRPr="009E35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4BE1" w:rsidRPr="00694BE1">
        <w:rPr>
          <w:rFonts w:ascii="Times New Roman" w:hAnsi="Times New Roman" w:cs="Times New Roman"/>
          <w:sz w:val="24"/>
          <w:szCs w:val="24"/>
          <w:lang w:val="sr-Cyrl-RS"/>
        </w:rPr>
        <w:t>000039</w:t>
      </w:r>
      <w:r w:rsidR="00A76820">
        <w:rPr>
          <w:rFonts w:ascii="Times New Roman" w:hAnsi="Times New Roman" w:cs="Times New Roman"/>
          <w:sz w:val="24"/>
          <w:szCs w:val="24"/>
          <w:lang w:val="sr-Cyrl-RS"/>
        </w:rPr>
        <w:t>336</w:t>
      </w:r>
      <w:r w:rsidR="00694BE1" w:rsidRPr="00694BE1">
        <w:rPr>
          <w:rFonts w:ascii="Times New Roman" w:hAnsi="Times New Roman" w:cs="Times New Roman"/>
          <w:sz w:val="24"/>
          <w:szCs w:val="24"/>
          <w:lang w:val="sr-Cyrl-RS"/>
        </w:rPr>
        <w:t xml:space="preserve"> 2024 13460 003 005 000 001</w:t>
      </w:r>
      <w:r w:rsidR="00694B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C0C99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C0C99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475BB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A3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9E0" w:rsidRPr="009E35D8">
        <w:rPr>
          <w:rFonts w:ascii="Times New Roman" w:hAnsi="Times New Roman" w:cs="Times New Roman"/>
          <w:bCs/>
          <w:sz w:val="24"/>
          <w:szCs w:val="24"/>
          <w:lang w:val="sr-Cyrl-RS"/>
        </w:rPr>
        <w:t>године</w:t>
      </w:r>
      <w:r w:rsidR="001E29E0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2B52" w:rsidRPr="009E35D8">
        <w:rPr>
          <w:rFonts w:ascii="Times New Roman" w:hAnsi="Times New Roman" w:cs="Times New Roman"/>
          <w:sz w:val="24"/>
          <w:szCs w:val="24"/>
          <w:lang w:val="sr-Cyrl-RS"/>
        </w:rPr>
        <w:t>Министарства информисања и телекомуникација</w:t>
      </w:r>
      <w:r w:rsidR="001E29E0" w:rsidRPr="009E35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CCCEFB" w14:textId="7A618F85" w:rsidR="00860108" w:rsidRPr="009E35D8" w:rsidRDefault="00672987" w:rsidP="001F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опредељена за појединачна давања из члана </w:t>
      </w:r>
      <w:r w:rsidR="007B0CB6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E35D8">
        <w:rPr>
          <w:rFonts w:ascii="Times New Roman" w:hAnsi="Times New Roman" w:cs="Times New Roman"/>
          <w:sz w:val="24"/>
          <w:szCs w:val="24"/>
          <w:lang w:val="sr-Cyrl-RS"/>
        </w:rPr>
        <w:t>. овог закона, расподељују се одлуком руководиоца органа надлежног за послове јавног информисања, која се доноси без спровођења јавног конкурса.</w:t>
      </w:r>
      <w:r w:rsidR="001F59E4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BF98112" w14:textId="2B97E112" w:rsidR="001F7353" w:rsidRPr="009E35D8" w:rsidRDefault="003748C9" w:rsidP="00AA2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35D8">
        <w:rPr>
          <w:rFonts w:ascii="Times New Roman" w:hAnsi="Times New Roman" w:cs="Times New Roman"/>
          <w:sz w:val="24"/>
          <w:szCs w:val="24"/>
          <w:lang w:val="sr-Cyrl-RS"/>
        </w:rPr>
        <w:t>Ова с</w:t>
      </w:r>
      <w:r w:rsidR="0062327F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редства се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могу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доделити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само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пројекте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који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нису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могли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бити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планирани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време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расписивања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конкурса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ванредне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околности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хитност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реализације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итд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.)</w:t>
      </w:r>
      <w:r w:rsidR="00AA2C1D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одобравају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складу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са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правилима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о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додели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помоћи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мале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вредности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5A1F85">
        <w:rPr>
          <w:rFonts w:ascii="Times New Roman" w:hAnsi="Times New Roman" w:cs="Times New Roman"/>
          <w:sz w:val="24"/>
          <w:szCs w:val="24"/>
          <w:lang w:val="sr-Latn-RS"/>
        </w:rPr>
        <w:t xml:space="preserve">de </w:t>
      </w:r>
      <w:proofErr w:type="spellStart"/>
      <w:r w:rsidR="005A1F85">
        <w:rPr>
          <w:rFonts w:ascii="Times New Roman" w:hAnsi="Times New Roman" w:cs="Times New Roman"/>
          <w:sz w:val="24"/>
          <w:szCs w:val="24"/>
          <w:lang w:val="sr-Latn-RS"/>
        </w:rPr>
        <w:t>minimis</w:t>
      </w:r>
      <w:proofErr w:type="spellEnd"/>
      <w:r w:rsidR="005A1F8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 w:rsidR="0062327F" w:rsidRPr="009E35D8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58669768" w14:textId="77777777" w:rsidR="007B1CF0" w:rsidRPr="009E35D8" w:rsidRDefault="007B1CF0" w:rsidP="0086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E1EAEC8" w14:textId="06973A15" w:rsidR="00860108" w:rsidRPr="001952E8" w:rsidRDefault="00860108" w:rsidP="001952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952E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Намена </w:t>
      </w:r>
      <w:r w:rsidR="000627A9" w:rsidRPr="001952E8">
        <w:rPr>
          <w:rFonts w:ascii="Times New Roman" w:hAnsi="Times New Roman" w:cs="Times New Roman"/>
          <w:b/>
          <w:sz w:val="24"/>
          <w:szCs w:val="24"/>
          <w:lang w:val="sr-Cyrl-CS"/>
        </w:rPr>
        <w:t>појединачних давања</w:t>
      </w:r>
    </w:p>
    <w:p w14:paraId="7C3F8454" w14:textId="77777777" w:rsidR="007B1CF0" w:rsidRPr="009E35D8" w:rsidRDefault="007B1CF0" w:rsidP="008601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4F92FB4" w14:textId="55203325" w:rsidR="00860108" w:rsidRPr="009E35D8" w:rsidRDefault="00E42C07" w:rsidP="00430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појединачна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определити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опредељених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9E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D8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="00860108" w:rsidRPr="009E35D8">
        <w:rPr>
          <w:rFonts w:ascii="Times New Roman" w:hAnsi="Times New Roman" w:cs="Times New Roman"/>
          <w:sz w:val="24"/>
          <w:szCs w:val="24"/>
        </w:rPr>
        <w:t>.</w:t>
      </w:r>
      <w:r w:rsidR="00315FBB" w:rsidRPr="009E35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AAC2D64" w14:textId="77777777" w:rsidR="007B1CF0" w:rsidRDefault="007B1CF0" w:rsidP="008601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12D4898" w14:textId="77777777" w:rsidR="00294702" w:rsidRDefault="00294702" w:rsidP="008601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3E41E41" w14:textId="7B7585B6" w:rsidR="007B1CF0" w:rsidRPr="00087AA5" w:rsidRDefault="00860108" w:rsidP="008601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952E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Финансијски аспекти </w:t>
      </w:r>
      <w:r w:rsidR="00707020" w:rsidRPr="001952E8">
        <w:rPr>
          <w:rFonts w:ascii="Times New Roman" w:hAnsi="Times New Roman" w:cs="Times New Roman"/>
          <w:b/>
          <w:sz w:val="24"/>
          <w:szCs w:val="24"/>
          <w:lang w:val="sr-Cyrl-CS"/>
        </w:rPr>
        <w:t>појединачних давања</w:t>
      </w:r>
    </w:p>
    <w:p w14:paraId="6B86CA00" w14:textId="77777777" w:rsidR="00D44BA4" w:rsidRDefault="00D44BA4" w:rsidP="00430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CC6B549" w14:textId="7A7EBF88" w:rsidR="00860108" w:rsidRPr="000848DB" w:rsidRDefault="004D6116" w:rsidP="00430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860108" w:rsidRPr="00C44FA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60108" w:rsidRPr="00C44FA4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860108" w:rsidRPr="00C44FA4">
        <w:rPr>
          <w:rFonts w:ascii="Times New Roman" w:hAnsi="Times New Roman" w:cs="Times New Roman"/>
          <w:sz w:val="24"/>
          <w:szCs w:val="24"/>
        </w:rPr>
        <w:t xml:space="preserve"> </w:t>
      </w:r>
      <w:r w:rsidR="00246C86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</w:t>
      </w:r>
      <w:r w:rsidR="00757BC4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подржаних путем </w:t>
      </w:r>
      <w:r w:rsidR="00246C86" w:rsidRPr="000848DB">
        <w:rPr>
          <w:rFonts w:ascii="Times New Roman" w:hAnsi="Times New Roman" w:cs="Times New Roman"/>
          <w:sz w:val="24"/>
          <w:szCs w:val="24"/>
          <w:lang w:val="sr-Cyrl-RS"/>
        </w:rPr>
        <w:t>појединачн</w:t>
      </w:r>
      <w:r w:rsidR="00757BC4" w:rsidRPr="000848D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246C86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BC4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давања </w:t>
      </w:r>
      <w:r w:rsidR="00860108" w:rsidRPr="000848D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60108" w:rsidRPr="000848DB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="00860108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08" w:rsidRPr="000848DB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информисања</w:t>
      </w:r>
      <w:r w:rsidR="00860108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6C86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46C86" w:rsidRPr="005C242A">
        <w:rPr>
          <w:rFonts w:ascii="Times New Roman" w:hAnsi="Times New Roman" w:cs="Times New Roman"/>
          <w:sz w:val="24"/>
          <w:szCs w:val="24"/>
          <w:lang w:val="sr-Cyrl-RS"/>
        </w:rPr>
        <w:t xml:space="preserve">телекомуникација </w:t>
      </w:r>
      <w:proofErr w:type="spellStart"/>
      <w:r w:rsidR="00860108" w:rsidRPr="005C242A">
        <w:rPr>
          <w:rFonts w:ascii="Times New Roman" w:hAnsi="Times New Roman" w:cs="Times New Roman"/>
          <w:sz w:val="24"/>
          <w:szCs w:val="24"/>
        </w:rPr>
        <w:t>опредељено</w:t>
      </w:r>
      <w:proofErr w:type="spellEnd"/>
      <w:r w:rsidR="00860108" w:rsidRPr="005C242A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860108" w:rsidRPr="005C242A">
        <w:rPr>
          <w:rFonts w:ascii="Times New Roman" w:hAnsi="Times New Roman" w:cs="Times New Roman"/>
          <w:sz w:val="24"/>
          <w:szCs w:val="24"/>
        </w:rPr>
        <w:t xml:space="preserve"> </w:t>
      </w:r>
      <w:r w:rsidR="001D39E8" w:rsidRPr="005C242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F32B29" w:rsidRPr="005C242A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F00024" w:rsidRPr="005C24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32B29" w:rsidRPr="005C242A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="00F00024" w:rsidRPr="005C242A">
        <w:rPr>
          <w:rFonts w:ascii="Times New Roman" w:hAnsi="Times New Roman" w:cs="Times New Roman"/>
          <w:sz w:val="24"/>
          <w:szCs w:val="24"/>
          <w:lang w:val="sr-Cyrl-RS"/>
        </w:rPr>
        <w:t>0.000,00</w:t>
      </w:r>
      <w:r w:rsidR="001B5D3E" w:rsidRPr="005C24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60108" w:rsidRPr="005C242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1B5D3E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7318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за укупно </w:t>
      </w:r>
      <w:r w:rsidR="00C14AC2">
        <w:rPr>
          <w:rFonts w:ascii="Times New Roman" w:hAnsi="Times New Roman" w:cs="Times New Roman"/>
          <w:sz w:val="24"/>
          <w:szCs w:val="24"/>
          <w:lang w:val="sr-Latn-RS"/>
        </w:rPr>
        <w:t>33</w:t>
      </w:r>
      <w:r w:rsidR="003A7318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860108" w:rsidRPr="00084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19FC8" w14:textId="28E40D9B" w:rsidR="00860108" w:rsidRDefault="00612E4F" w:rsidP="00430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790364"/>
      <w:r w:rsidRPr="000848DB">
        <w:rPr>
          <w:rFonts w:ascii="Times New Roman" w:hAnsi="Times New Roman" w:cs="Times New Roman"/>
          <w:sz w:val="24"/>
          <w:szCs w:val="24"/>
          <w:lang w:val="sr-Cyrl-RS"/>
        </w:rPr>
        <w:t>Предлагачи</w:t>
      </w:r>
      <w:r w:rsidR="002F019F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мо</w:t>
      </w:r>
      <w:r w:rsidR="008028FB" w:rsidRPr="000848DB">
        <w:rPr>
          <w:rFonts w:ascii="Times New Roman" w:hAnsi="Times New Roman" w:cs="Times New Roman"/>
          <w:sz w:val="24"/>
          <w:szCs w:val="24"/>
          <w:lang w:val="sr-Cyrl-RS"/>
        </w:rPr>
        <w:t>гли</w:t>
      </w:r>
      <w:proofErr w:type="spellEnd"/>
      <w:r w:rsidR="008028FB" w:rsidRPr="000848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r w:rsidR="006158FD" w:rsidRPr="000848D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2F4D8F" w:rsidRPr="000848DB">
        <w:rPr>
          <w:rFonts w:ascii="Times New Roman" w:hAnsi="Times New Roman" w:cs="Times New Roman"/>
          <w:sz w:val="24"/>
          <w:szCs w:val="24"/>
        </w:rPr>
        <w:t xml:space="preserve">0%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="002F4D8F" w:rsidRPr="000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8F" w:rsidRPr="000848DB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860108" w:rsidRPr="00084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AF470" w14:textId="77777777" w:rsidR="00860108" w:rsidRDefault="00860108" w:rsidP="008601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C64596F" w14:textId="77777777" w:rsidR="007B1CF0" w:rsidRDefault="007B1CF0" w:rsidP="008601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bookmarkEnd w:id="1"/>
    <w:p w14:paraId="54A06B58" w14:textId="77777777" w:rsidR="002C2523" w:rsidRDefault="00860108" w:rsidP="002C25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952E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0707280C" w14:textId="77777777" w:rsidR="00EE55DE" w:rsidRDefault="00EE55DE" w:rsidP="00EE55D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37C3F93" w14:textId="77777777" w:rsidR="00D17A4F" w:rsidRDefault="00D17A4F" w:rsidP="00D17A4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68F2C6" w14:textId="15F3E37A" w:rsidR="00860108" w:rsidRPr="00725094" w:rsidRDefault="00860108" w:rsidP="00725094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2509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 подржаних пројеката и износ додељених средстава </w:t>
      </w:r>
    </w:p>
    <w:p w14:paraId="25D251B0" w14:textId="77777777" w:rsidR="00782B4F" w:rsidRDefault="00782B4F" w:rsidP="00782B4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7AC7017" w14:textId="77777777" w:rsidR="007B1CF0" w:rsidRPr="002C2523" w:rsidRDefault="007B1CF0" w:rsidP="00782B4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036687F" w14:textId="4579F238" w:rsidR="00860108" w:rsidRDefault="00860108" w:rsidP="00B61C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C44FA4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4C5F9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подржана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r w:rsidRPr="00C44FA4">
        <w:rPr>
          <w:rFonts w:ascii="Times New Roman" w:hAnsi="Times New Roman" w:cs="Times New Roman"/>
          <w:sz w:val="24"/>
          <w:szCs w:val="24"/>
          <w:lang w:val="sr-Cyrl-RS"/>
        </w:rPr>
        <w:t>мањим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износом средстава</w:t>
      </w:r>
      <w:r w:rsidRPr="00C44FA4">
        <w:rPr>
          <w:rFonts w:ascii="Times New Roman" w:hAnsi="Times New Roman" w:cs="Times New Roman"/>
          <w:sz w:val="24"/>
          <w:szCs w:val="24"/>
          <w:lang w:val="sr-Cyrl-RS"/>
        </w:rPr>
        <w:t xml:space="preserve"> од траженог.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Подносиоци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мањи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44FA4">
        <w:rPr>
          <w:rFonts w:ascii="Times New Roman" w:hAnsi="Times New Roman" w:cs="Times New Roman"/>
          <w:sz w:val="24"/>
          <w:szCs w:val="24"/>
          <w:lang w:val="sr-Cyrl-RS"/>
        </w:rPr>
        <w:t xml:space="preserve"> од траженог</w:t>
      </w:r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ревидирани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268A1DF0" w14:textId="77777777" w:rsidR="007B1CF0" w:rsidRPr="00A83F0A" w:rsidRDefault="007B1CF0" w:rsidP="00B61C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2EFE0A" w14:textId="77777777" w:rsidR="00087AA5" w:rsidRDefault="00087AA5" w:rsidP="00250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403447" w14:textId="77777777" w:rsidR="00AA37C5" w:rsidRDefault="00AA37C5" w:rsidP="00250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5FFF99" w14:textId="6DB511D7" w:rsidR="00042F3D" w:rsidRDefault="005D2ED0" w:rsidP="00250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</w:t>
      </w:r>
      <w:r w:rsidR="002506F6">
        <w:rPr>
          <w:rFonts w:ascii="Times New Roman" w:hAnsi="Times New Roman" w:cs="Times New Roman"/>
          <w:sz w:val="24"/>
          <w:szCs w:val="24"/>
          <w:lang w:val="sr-Cyrl-RS"/>
        </w:rPr>
        <w:t xml:space="preserve">риказани су </w:t>
      </w:r>
      <w:r w:rsidR="002506F6" w:rsidRPr="00BF5C91">
        <w:rPr>
          <w:rFonts w:ascii="Times New Roman" w:hAnsi="Times New Roman" w:cs="Times New Roman"/>
          <w:sz w:val="24"/>
          <w:szCs w:val="24"/>
          <w:lang w:val="sr-Cyrl-RS"/>
        </w:rPr>
        <w:t xml:space="preserve">износи додељени </w:t>
      </w:r>
      <w:r w:rsidR="002506F6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подржаним </w:t>
      </w:r>
      <w:r w:rsidR="002506F6" w:rsidRPr="00BF5C91">
        <w:rPr>
          <w:rFonts w:ascii="Times New Roman" w:hAnsi="Times New Roman" w:cs="Times New Roman"/>
          <w:sz w:val="24"/>
          <w:szCs w:val="24"/>
          <w:lang w:val="sr-Cyrl-RS"/>
        </w:rPr>
        <w:t>пројект</w:t>
      </w:r>
      <w:r w:rsidR="002506F6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2506F6" w:rsidRPr="00BF5C9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506F6">
        <w:rPr>
          <w:rFonts w:ascii="Times New Roman" w:hAnsi="Times New Roman" w:cs="Times New Roman"/>
          <w:sz w:val="24"/>
          <w:szCs w:val="24"/>
          <w:lang w:val="sr-Cyrl-RS"/>
        </w:rPr>
        <w:t>, при чему је н</w:t>
      </w:r>
      <w:proofErr w:type="spellStart"/>
      <w:r w:rsidR="00860108" w:rsidRPr="002A3A60">
        <w:rPr>
          <w:rFonts w:ascii="Times New Roman" w:hAnsi="Times New Roman" w:cs="Times New Roman"/>
          <w:sz w:val="24"/>
          <w:szCs w:val="24"/>
        </w:rPr>
        <w:t>ајмањи</w:t>
      </w:r>
      <w:proofErr w:type="spellEnd"/>
      <w:r w:rsidR="00860108" w:rsidRPr="002A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08" w:rsidRPr="002A3A6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860108" w:rsidRPr="002A3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60108" w:rsidRPr="002A3A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60108" w:rsidRPr="002A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08" w:rsidRPr="002A3A60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860108" w:rsidRPr="002A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08" w:rsidRPr="002A3A60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860108" w:rsidRPr="002A3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3FF8" w:rsidRPr="00F33FF8">
        <w:rPr>
          <w:rFonts w:ascii="Times New Roman" w:hAnsi="Times New Roman" w:cs="Times New Roman"/>
          <w:sz w:val="24"/>
          <w:szCs w:val="24"/>
          <w:lang w:val="sr-Cyrl-RS"/>
        </w:rPr>
        <w:t>износио је</w:t>
      </w:r>
      <w:r w:rsidR="00860108" w:rsidRPr="00F33FF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752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60108" w:rsidRPr="002A3A60">
        <w:rPr>
          <w:rFonts w:ascii="Times New Roman" w:hAnsi="Times New Roman" w:cs="Times New Roman"/>
          <w:sz w:val="24"/>
          <w:szCs w:val="24"/>
        </w:rPr>
        <w:t>0.000</w:t>
      </w:r>
      <w:r w:rsidR="00860108" w:rsidRPr="002A3A60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860108" w:rsidRPr="002A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108" w:rsidRPr="002A3A60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A36447">
        <w:rPr>
          <w:rFonts w:ascii="Times New Roman" w:hAnsi="Times New Roman" w:cs="Times New Roman"/>
          <w:sz w:val="24"/>
          <w:szCs w:val="24"/>
        </w:rPr>
        <w:t xml:space="preserve">, </w:t>
      </w:r>
      <w:r w:rsidR="00A36447">
        <w:rPr>
          <w:rFonts w:ascii="Times New Roman" w:hAnsi="Times New Roman" w:cs="Times New Roman"/>
          <w:sz w:val="24"/>
          <w:szCs w:val="24"/>
          <w:lang w:val="sr-Cyrl-RS"/>
        </w:rPr>
        <w:t>а н</w:t>
      </w:r>
      <w:r w:rsidR="00DF1763" w:rsidRPr="002A3A60">
        <w:rPr>
          <w:rFonts w:ascii="Times New Roman" w:hAnsi="Times New Roman" w:cs="Times New Roman"/>
          <w:sz w:val="24"/>
          <w:szCs w:val="24"/>
          <w:lang w:val="sr-Cyrl-RS"/>
        </w:rPr>
        <w:t xml:space="preserve">ајвећи </w:t>
      </w:r>
      <w:r w:rsidR="00CB367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6B6351" w:rsidRPr="002A3A60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DF1763" w:rsidRPr="002A3A6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6351" w:rsidRPr="002A3A6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F1763" w:rsidRPr="002A3A6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6351" w:rsidRPr="002A3A6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F1763" w:rsidRPr="002A3A60">
        <w:rPr>
          <w:rFonts w:ascii="Times New Roman" w:hAnsi="Times New Roman" w:cs="Times New Roman"/>
          <w:sz w:val="24"/>
          <w:szCs w:val="24"/>
          <w:lang w:val="sr-Cyrl-RS"/>
        </w:rPr>
        <w:t>00,00 динара.</w:t>
      </w:r>
      <w:r w:rsidR="00A364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06F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506F6" w:rsidRPr="00A36447">
        <w:rPr>
          <w:rFonts w:ascii="Times New Roman" w:hAnsi="Times New Roman" w:cs="Times New Roman"/>
          <w:sz w:val="24"/>
          <w:szCs w:val="24"/>
          <w:lang w:val="sr-Cyrl-RS"/>
        </w:rPr>
        <w:t xml:space="preserve">ајвећи број пројеката подржан </w:t>
      </w:r>
      <w:r w:rsidR="002506F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2506F6" w:rsidRPr="00A36447">
        <w:rPr>
          <w:rFonts w:ascii="Times New Roman" w:hAnsi="Times New Roman" w:cs="Times New Roman"/>
          <w:sz w:val="24"/>
          <w:szCs w:val="24"/>
          <w:lang w:val="sr-Cyrl-RS"/>
        </w:rPr>
        <w:t xml:space="preserve">износом од </w:t>
      </w:r>
      <w:r w:rsidR="00FC44EA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2506F6" w:rsidRPr="00A36447">
        <w:rPr>
          <w:rFonts w:ascii="Times New Roman" w:hAnsi="Times New Roman" w:cs="Times New Roman"/>
          <w:sz w:val="24"/>
          <w:szCs w:val="24"/>
          <w:lang w:val="sr-Cyrl-RS"/>
        </w:rPr>
        <w:t>00.000</w:t>
      </w:r>
      <w:r w:rsidR="00FC44EA">
        <w:rPr>
          <w:rFonts w:ascii="Times New Roman" w:hAnsi="Times New Roman" w:cs="Times New Roman"/>
          <w:sz w:val="24"/>
          <w:szCs w:val="24"/>
          <w:lang w:val="sr-Latn-RS"/>
        </w:rPr>
        <w:t xml:space="preserve">,00 </w:t>
      </w:r>
      <w:r w:rsidR="00FC44EA">
        <w:rPr>
          <w:rFonts w:ascii="Times New Roman" w:hAnsi="Times New Roman" w:cs="Times New Roman"/>
          <w:sz w:val="24"/>
          <w:szCs w:val="24"/>
          <w:lang w:val="sr-Cyrl-RS"/>
        </w:rPr>
        <w:t xml:space="preserve">динара </w:t>
      </w:r>
      <w:r w:rsidR="002506F6" w:rsidRPr="00A3644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A108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506F6" w:rsidRPr="00A36447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пројеката)</w:t>
      </w:r>
      <w:r w:rsidR="00FC44E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19FFE1F" w14:textId="77777777" w:rsidR="009D4735" w:rsidRDefault="009D4735" w:rsidP="00DA1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25ABED" w14:textId="77777777" w:rsidR="007B1CF0" w:rsidRDefault="007B1CF0" w:rsidP="00DA1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AC93AD" w14:textId="77777777" w:rsidR="007B1CF0" w:rsidRPr="009D4735" w:rsidRDefault="007B1CF0" w:rsidP="00DA1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384274" w14:textId="67AD2D70" w:rsidR="001B3EE1" w:rsidRDefault="00027956" w:rsidP="006345B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79B4FFF2" wp14:editId="2FCBD416">
            <wp:extent cx="4343400" cy="3162301"/>
            <wp:effectExtent l="0" t="0" r="0" b="0"/>
            <wp:docPr id="17996134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9EBA44-1C0B-5A87-0F2D-E055A35FBC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9F71B1" w14:textId="77777777" w:rsidR="000C7C8C" w:rsidRPr="00A4683C" w:rsidRDefault="000C7C8C" w:rsidP="0086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6A6C8367" w14:textId="2AFA4282" w:rsidR="00DA15E8" w:rsidRPr="00305185" w:rsidRDefault="00305185" w:rsidP="0086010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sr-Cyrl-RS"/>
        </w:rPr>
      </w:pPr>
      <w:r w:rsidRPr="00305185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Cyrl-RS"/>
        </w:rPr>
        <w:t xml:space="preserve">                     Графикон 1.</w:t>
      </w:r>
    </w:p>
    <w:p w14:paraId="6594B40E" w14:textId="77777777" w:rsidR="007B1CF0" w:rsidRDefault="007B1CF0" w:rsidP="0086010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2E9BD54" w14:textId="77777777" w:rsidR="007B1CF0" w:rsidRDefault="007B1CF0" w:rsidP="0086010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AED2FCA" w14:textId="0114BB40" w:rsidR="00EE55DE" w:rsidRPr="00725094" w:rsidRDefault="00725094" w:rsidP="00725094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3.</w:t>
      </w:r>
      <w:r w:rsidR="002C2523" w:rsidRPr="0072509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2 </w:t>
      </w:r>
      <w:r w:rsidR="00BA631B" w:rsidRPr="0072509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Област </w:t>
      </w:r>
      <w:r w:rsidR="00486A16" w:rsidRPr="0072509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подржа</w:t>
      </w:r>
      <w:r w:rsidR="00BA631B" w:rsidRPr="0072509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них пројеката</w:t>
      </w:r>
    </w:p>
    <w:p w14:paraId="40C516C1" w14:textId="77777777" w:rsidR="006314F6" w:rsidRPr="00F72ABC" w:rsidRDefault="006314F6" w:rsidP="006314F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Графикону 2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дат је преглед области подржаних пројеката. </w:t>
      </w:r>
      <w:r w:rsidRPr="0080365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Подржани пројекти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се односе на</w:t>
      </w:r>
      <w:r w:rsidRPr="0080365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друштвено значајн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е</w:t>
      </w:r>
      <w:r w:rsidRPr="0080365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тем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е</w:t>
      </w:r>
      <w:r w:rsidRPr="0080365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- од очувања националног и културног идентитета до</w:t>
      </w:r>
      <w:r w:rsidRPr="00D138BB"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јавног</w:t>
      </w:r>
      <w:r w:rsidRPr="00D138B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здрављ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</w:t>
      </w:r>
      <w:r w:rsidRPr="00D138B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здравствен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их</w:t>
      </w:r>
      <w:r w:rsidRPr="00D138B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потреб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</w:t>
      </w:r>
      <w:r w:rsidRPr="00D138B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становништва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као и</w:t>
      </w:r>
      <w:r w:rsidRPr="0080365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безбедности. Посебна пажња посвећена је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заштити животне средине.</w:t>
      </w:r>
      <w:r w:rsidRPr="0080365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</w:p>
    <w:p w14:paraId="34AD2219" w14:textId="26D920C6" w:rsidR="00BA631B" w:rsidRDefault="00BA631B" w:rsidP="0086010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7420D8AC" w14:textId="570550B4" w:rsidR="00A4683C" w:rsidRPr="00695D22" w:rsidRDefault="008027BA" w:rsidP="00DA15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noProof/>
        </w:rPr>
        <w:lastRenderedPageBreak/>
        <w:drawing>
          <wp:inline distT="0" distB="0" distL="0" distR="0" wp14:anchorId="01F5DD64" wp14:editId="0105474C">
            <wp:extent cx="5915025" cy="3781425"/>
            <wp:effectExtent l="0" t="0" r="9525" b="9525"/>
            <wp:docPr id="1968513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7ADCC02-FE9E-B13B-9874-61EB44CBCF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8A5F04" w14:textId="26CA559E" w:rsidR="003266B1" w:rsidRDefault="00305185" w:rsidP="00860108">
      <w:pPr>
        <w:spacing w:after="20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 w:rsidRPr="00305185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Графикон 2.</w:t>
      </w:r>
    </w:p>
    <w:p w14:paraId="10D36B42" w14:textId="77777777" w:rsidR="00305185" w:rsidRPr="00305185" w:rsidRDefault="00305185" w:rsidP="00860108">
      <w:pPr>
        <w:spacing w:after="20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</w:p>
    <w:p w14:paraId="1C9D8052" w14:textId="5EE524F9" w:rsidR="00860108" w:rsidRPr="00C44FA4" w:rsidRDefault="00B76F24" w:rsidP="0086010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7940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.3. </w:t>
      </w:r>
      <w:r w:rsidR="00860108" w:rsidRPr="00C44FA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Рок за реализацију пројеката </w:t>
      </w:r>
    </w:p>
    <w:p w14:paraId="409BD464" w14:textId="5A72D8D2" w:rsidR="00BA3F8D" w:rsidRPr="00430578" w:rsidRDefault="00860108" w:rsidP="00BA3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4FA4">
        <w:rPr>
          <w:rFonts w:ascii="Times New Roman" w:hAnsi="Times New Roman" w:cs="Times New Roman"/>
          <w:sz w:val="24"/>
          <w:szCs w:val="24"/>
          <w:lang w:val="sr-Cyrl-RS"/>
        </w:rPr>
        <w:t>Рок за</w:t>
      </w:r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C44FA4">
        <w:rPr>
          <w:rFonts w:ascii="Times New Roman" w:hAnsi="Times New Roman" w:cs="Times New Roman"/>
          <w:sz w:val="24"/>
          <w:szCs w:val="24"/>
          <w:lang w:val="sr-Cyrl-RS"/>
        </w:rPr>
        <w:t xml:space="preserve"> био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="00430578">
        <w:rPr>
          <w:rFonts w:ascii="Times New Roman" w:hAnsi="Times New Roman" w:cs="Times New Roman"/>
          <w:sz w:val="24"/>
          <w:szCs w:val="24"/>
          <w:lang w:val="sr-Cyrl-RS"/>
        </w:rPr>
        <w:t xml:space="preserve">е годину дана од дана доношења </w:t>
      </w:r>
      <w:r w:rsidR="0065713F">
        <w:rPr>
          <w:rFonts w:ascii="Times New Roman" w:hAnsi="Times New Roman" w:cs="Times New Roman"/>
          <w:sz w:val="24"/>
          <w:szCs w:val="24"/>
          <w:lang w:val="sr-Cyrl-RS"/>
        </w:rPr>
        <w:t>решења</w:t>
      </w:r>
      <w:r w:rsidR="00665F6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3B0BA93" w14:textId="77777777" w:rsidR="00860108" w:rsidRDefault="00860108" w:rsidP="008601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0DF29483" w14:textId="7D0421FD" w:rsidR="00860108" w:rsidRPr="00C44FA4" w:rsidRDefault="00B76F24" w:rsidP="008601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7940D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.4. </w:t>
      </w:r>
      <w:r w:rsidR="00860108" w:rsidRPr="00C44FA4">
        <w:rPr>
          <w:rFonts w:ascii="Times New Roman" w:hAnsi="Times New Roman" w:cs="Times New Roman"/>
          <w:b/>
          <w:sz w:val="24"/>
          <w:szCs w:val="24"/>
          <w:lang w:val="sr-Cyrl-CS"/>
        </w:rPr>
        <w:t>Правни статус подносилаца пројеката</w:t>
      </w:r>
    </w:p>
    <w:p w14:paraId="3BA77602" w14:textId="0F51EE81" w:rsidR="00860108" w:rsidRPr="00DF648A" w:rsidRDefault="00684ED2" w:rsidP="00860108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 </w:t>
      </w:r>
      <w:r w:rsidR="00B2259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33</w:t>
      </w:r>
      <w:r w:rsidR="00E0610D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пројекта подржаних појединачним давањима </w:t>
      </w:r>
      <w:r w:rsidR="007974EF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највише</w:t>
      </w:r>
      <w:r w:rsidR="003E03B6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66971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пројек</w:t>
      </w:r>
      <w:r w:rsidR="007974EF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ата</w:t>
      </w:r>
      <w:r w:rsidR="00E0610D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су 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реализовал</w:t>
      </w:r>
      <w:r w:rsidR="00855A34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26964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предузетници и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привредна друштава</w:t>
      </w:r>
      <w:r w:rsidR="00326964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</w:t>
      </w:r>
      <w:r w:rsidR="00326964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ДОО,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АД, </w:t>
      </w:r>
      <w:r w:rsidR="00326964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545A13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35E2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</w:t>
      </w:r>
      <w:r w:rsidR="00545A13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пројеката, </w:t>
      </w:r>
      <w:r w:rsidR="003E03B6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док су </w:t>
      </w:r>
      <w:r w:rsidR="000E57F6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организације 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цивилног друштва (УГ)</w:t>
      </w:r>
      <w:r w:rsidR="00555939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реализовале</w:t>
      </w:r>
      <w:r w:rsidR="00D76DB5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35E2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13</w:t>
      </w:r>
      <w:r w:rsidR="00545A13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пројеката</w:t>
      </w:r>
      <w:r w:rsidR="00860108" w:rsidRPr="00555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226705D7" w14:textId="77777777" w:rsidR="00860108" w:rsidRPr="006D5DBA" w:rsidRDefault="00860108" w:rsidP="0086010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6F237DC" w14:textId="77777777" w:rsidR="00860108" w:rsidRPr="00C44FA4" w:rsidRDefault="00860108" w:rsidP="0086010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A554B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Pr="003A554B">
        <w:rPr>
          <w:rFonts w:ascii="Times New Roman" w:hAnsi="Times New Roman" w:cs="Times New Roman"/>
          <w:b/>
          <w:sz w:val="24"/>
          <w:szCs w:val="24"/>
        </w:rPr>
        <w:t>Извештаји</w:t>
      </w:r>
      <w:proofErr w:type="spellEnd"/>
      <w:r w:rsidRPr="003A55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54B"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</w:p>
    <w:p w14:paraId="30BAD4AD" w14:textId="77777777" w:rsidR="00145875" w:rsidRDefault="00860108" w:rsidP="004A04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4FA4">
        <w:rPr>
          <w:rFonts w:ascii="Times New Roman" w:hAnsi="Times New Roman" w:cs="Times New Roman"/>
          <w:sz w:val="24"/>
          <w:szCs w:val="24"/>
          <w:lang w:val="sr-Cyrl-RS"/>
        </w:rPr>
        <w:t>Корисници</w:t>
      </w:r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средст</w:t>
      </w:r>
      <w:proofErr w:type="spellEnd"/>
      <w:r w:rsidR="00D479F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44FA4">
        <w:rPr>
          <w:rFonts w:ascii="Times New Roman" w:hAnsi="Times New Roman" w:cs="Times New Roman"/>
          <w:sz w:val="24"/>
          <w:szCs w:val="24"/>
        </w:rPr>
        <w:t>в</w:t>
      </w:r>
      <w:r w:rsidRPr="00C44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 имају</w:t>
      </w:r>
      <w:r w:rsidRPr="00C44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C44FA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обавезу</w:t>
      </w:r>
      <w:proofErr w:type="spellEnd"/>
      <w:r w:rsidRPr="00C44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C44F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C44FA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наративног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C44FA4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C44F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C44FA4">
        <w:rPr>
          <w:rFonts w:ascii="Times New Roman" w:hAnsi="Times New Roman" w:cs="Times New Roman"/>
          <w:sz w:val="24"/>
          <w:szCs w:val="24"/>
        </w:rPr>
        <w:t>.</w:t>
      </w:r>
      <w:r w:rsidRPr="00C44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90386">
        <w:rPr>
          <w:rFonts w:ascii="Times New Roman" w:hAnsi="Times New Roman" w:cs="Times New Roman"/>
          <w:sz w:val="24"/>
          <w:szCs w:val="24"/>
          <w:lang w:val="sr-Cyrl-RS"/>
        </w:rPr>
        <w:t>Уколико корисник не достави наративни и финансијски извештај о реализацији пројекта у року и у прописаној форми, Министарство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му</w:t>
      </w:r>
      <w:r w:rsidRPr="00B90386">
        <w:rPr>
          <w:rFonts w:ascii="Times New Roman" w:hAnsi="Times New Roman" w:cs="Times New Roman"/>
          <w:sz w:val="24"/>
          <w:szCs w:val="24"/>
          <w:lang w:val="sr-Cyrl-RS"/>
        </w:rPr>
        <w:t xml:space="preserve"> упућује захтев за повраћај средстава.</w:t>
      </w:r>
    </w:p>
    <w:p w14:paraId="23177DF9" w14:textId="21500EE6" w:rsidR="00AE59E9" w:rsidRDefault="00892591" w:rsidP="00E557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67D1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Извештај о реализацији пројекта </w:t>
      </w:r>
      <w:r w:rsidR="0028434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ни</w:t>
      </w:r>
      <w:r w:rsidR="00DA01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су доставили</w:t>
      </w:r>
      <w:r w:rsid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НВО Српско историјско културно друштво ''Никола Васојевић''-Беране</w:t>
      </w:r>
      <w:r w:rsid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(NU </w:t>
      </w:r>
      <w:proofErr w:type="spellStart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Srpsko</w:t>
      </w:r>
      <w:proofErr w:type="spellEnd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istorijsko</w:t>
      </w:r>
      <w:proofErr w:type="spellEnd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kulturno</w:t>
      </w:r>
      <w:proofErr w:type="spellEnd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društvo</w:t>
      </w:r>
      <w:proofErr w:type="spellEnd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Nikola </w:t>
      </w:r>
      <w:proofErr w:type="spellStart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Vasojević</w:t>
      </w:r>
      <w:proofErr w:type="spellEnd"/>
      <w:r w:rsidR="006F3F5B" w:rsidRP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6F3F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87D10" w:rsidRPr="007928D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 пројекат „</w:t>
      </w:r>
      <w:r w:rsidR="007928DA" w:rsidRPr="007928D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 живота људи Васојевића и Лимске долине</w:t>
      </w:r>
      <w:r w:rsidR="00175C83" w:rsidRPr="00E557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C108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9458FA" w:rsidRPr="00E557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Бошњачка заједница културе "Препород" за пројекат</w:t>
      </w:r>
      <w:r w:rsidR="006815E5" w:rsidRPr="00E557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„Казаљка“</w:t>
      </w:r>
      <w:r w:rsidR="006815E5" w:rsidRPr="007618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C108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B1F5A" w:rsidRPr="007618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 </w:t>
      </w:r>
      <w:r w:rsidR="007618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наведених</w:t>
      </w:r>
      <w:r w:rsidR="00B52BF9" w:rsidRPr="007618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B1F5A" w:rsidRPr="007618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корисника </w:t>
      </w:r>
      <w:r w:rsidR="00B52BF9" w:rsidRPr="007618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затражен је повраћај средстава</w:t>
      </w:r>
      <w:r w:rsidR="00E557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25518C63" w14:textId="72F4C5BE" w:rsidR="0089001B" w:rsidRDefault="00CF0954" w:rsidP="00B6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Прои</w:t>
      </w:r>
      <w:r w:rsidR="004E250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ведени медијски садржај нису доставил</w:t>
      </w:r>
      <w:r w:rsidR="00C7081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="00504EF8" w:rsidRPr="00504E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Телевизија </w:t>
      </w:r>
      <w:proofErr w:type="spellStart"/>
      <w:r w:rsidR="00504EF8" w:rsidRPr="00504E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Телемарк</w:t>
      </w:r>
      <w:proofErr w:type="spellEnd"/>
      <w:r w:rsidR="00504EF8" w:rsidRPr="00504E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ДОО Чачак</w:t>
      </w:r>
      <w:r w:rsidR="00504E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пројекат </w:t>
      </w:r>
      <w:r w:rsidR="0007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075E75" w:rsidRPr="0007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Велики ратници чачанског краја-потомци говоре</w:t>
      </w:r>
      <w:r w:rsidR="0007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C228E9" w:rsidRPr="00C228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Савез слепих Србије</w:t>
      </w:r>
      <w:r w:rsidR="00C228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</w:t>
      </w:r>
      <w:r w:rsidR="00C228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пројекат </w:t>
      </w:r>
      <w:r w:rsidR="00417839" w:rsidRP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Информисање слепих и слабовидих особа о </w:t>
      </w:r>
      <w:proofErr w:type="spellStart"/>
      <w:r w:rsidR="00417839" w:rsidRP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асистивним</w:t>
      </w:r>
      <w:proofErr w:type="spellEnd"/>
      <w:r w:rsidR="00417839" w:rsidRP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417839" w:rsidRP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техноогијама</w:t>
      </w:r>
      <w:proofErr w:type="spellEnd"/>
      <w:r w:rsidR="00417839" w:rsidRP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помагалима</w:t>
      </w:r>
      <w:r w:rsid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417839" w:rsidRP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Санџак телевизија ДОО Нови Пазар</w:t>
      </w:r>
      <w:r w:rsidR="004178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пројекат </w:t>
      </w:r>
      <w:r w:rsidR="001A2B5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1A2B57" w:rsidRPr="001A2B5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Емисија Магазин</w:t>
      </w:r>
      <w:r w:rsidR="001A2B5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“.</w:t>
      </w:r>
    </w:p>
    <w:p w14:paraId="6EAC86F2" w14:textId="77777777" w:rsidR="00305185" w:rsidRPr="00761820" w:rsidRDefault="00305185" w:rsidP="00B6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870FC87" w14:textId="4A2F1121" w:rsidR="00860108" w:rsidRPr="00C44FA4" w:rsidRDefault="00860108" w:rsidP="004A04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44F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1. Испуњеност рокова </w:t>
      </w:r>
    </w:p>
    <w:p w14:paraId="77A31831" w14:textId="77777777" w:rsidR="00860108" w:rsidRPr="00782912" w:rsidRDefault="00860108" w:rsidP="001E0BAB">
      <w:pPr>
        <w:spacing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4FA4">
        <w:rPr>
          <w:rFonts w:ascii="Times New Roman" w:hAnsi="Times New Roman" w:cs="Times New Roman"/>
          <w:sz w:val="24"/>
          <w:szCs w:val="24"/>
          <w:lang w:val="sr-Cyrl-RS"/>
        </w:rPr>
        <w:t>Рок за достављање извештаја је 30 да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од датума завршетка пројекта.</w:t>
      </w:r>
    </w:p>
    <w:p w14:paraId="34D25671" w14:textId="77777777" w:rsidR="00860108" w:rsidRPr="00D141AF" w:rsidRDefault="00860108" w:rsidP="004A04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44F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2. </w:t>
      </w:r>
      <w:r w:rsidRPr="00D141AF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део извештаја</w:t>
      </w:r>
    </w:p>
    <w:p w14:paraId="5DA86551" w14:textId="0E8C44E7" w:rsidR="0021592E" w:rsidRPr="00D141AF" w:rsidRDefault="0021592E" w:rsidP="0021592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закљученим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суфинансирању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доставили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потписан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оперативних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персоналних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C463C" w14:textId="221DF539" w:rsidR="00B7321E" w:rsidRDefault="0021592E" w:rsidP="00B732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праћен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ставке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ревидираног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141AF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D141AF">
        <w:rPr>
          <w:rFonts w:ascii="Times New Roman" w:hAnsi="Times New Roman" w:cs="Times New Roman"/>
          <w:sz w:val="24"/>
          <w:szCs w:val="24"/>
        </w:rPr>
        <w:t>.</w:t>
      </w:r>
    </w:p>
    <w:p w14:paraId="2EE5332A" w14:textId="77777777" w:rsidR="00D7262F" w:rsidRPr="00D7262F" w:rsidRDefault="00D7262F" w:rsidP="00B732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605806" w14:textId="7DD91108" w:rsidR="00860108" w:rsidRDefault="00E94FEE" w:rsidP="00E94F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F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3. Реализација пројекта: </w:t>
      </w:r>
      <w:r w:rsidR="00860108" w:rsidRPr="00E94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C9197D" w14:textId="77777777" w:rsidR="00E94FEE" w:rsidRPr="00FB225E" w:rsidRDefault="00E94FEE" w:rsidP="00AD7ED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94FEE">
        <w:rPr>
          <w:rFonts w:ascii="Times New Roman" w:hAnsi="Times New Roman" w:cs="Times New Roman"/>
          <w:sz w:val="24"/>
          <w:szCs w:val="24"/>
        </w:rPr>
        <w:t>Увидом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медијски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установљено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>:</w:t>
      </w:r>
    </w:p>
    <w:p w14:paraId="4BE52F01" w14:textId="64157BE0" w:rsidR="00E94FEE" w:rsidRPr="00511702" w:rsidRDefault="00E94FEE" w:rsidP="00FB5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4F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пројекти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FEE">
        <w:rPr>
          <w:rFonts w:ascii="Times New Roman" w:hAnsi="Times New Roman" w:cs="Times New Roman"/>
          <w:sz w:val="24"/>
          <w:szCs w:val="24"/>
        </w:rPr>
        <w:t>информативни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4FEE">
        <w:rPr>
          <w:rFonts w:ascii="Times New Roman" w:hAnsi="Times New Roman" w:cs="Times New Roman"/>
          <w:sz w:val="24"/>
          <w:szCs w:val="24"/>
        </w:rPr>
        <w:t>карактер</w:t>
      </w:r>
      <w:proofErr w:type="spellEnd"/>
      <w:r w:rsidRPr="00E94F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B3C832B" w14:textId="69E75FCB" w:rsidR="00FB225E" w:rsidRPr="00FB225E" w:rsidRDefault="00FB225E" w:rsidP="00FB5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14561">
        <w:rPr>
          <w:rFonts w:ascii="Times New Roman" w:hAnsi="Times New Roman" w:cs="Times New Roman"/>
          <w:sz w:val="24"/>
          <w:szCs w:val="24"/>
          <w:lang w:val="sr-Cyrl-RS"/>
        </w:rPr>
        <w:t xml:space="preserve">сви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пројекти су реализовани путем медија који је планиран пројектом;</w:t>
      </w:r>
    </w:p>
    <w:p w14:paraId="0B6F5FD0" w14:textId="43603B5D" w:rsidR="00E94FEE" w:rsidRPr="00AC21D3" w:rsidRDefault="00E94FEE" w:rsidP="007D71E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21D3">
        <w:rPr>
          <w:rFonts w:ascii="Times New Roman" w:hAnsi="Times New Roman" w:cs="Times New Roman"/>
          <w:sz w:val="24"/>
          <w:szCs w:val="24"/>
        </w:rPr>
        <w:t>-</w:t>
      </w:r>
      <w:r w:rsidRPr="00AC2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3F6B" w:rsidRPr="00AC21D3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утврђено је </w:t>
      </w:r>
      <w:r w:rsidR="003A0F3A" w:rsidRPr="00AC21D3">
        <w:rPr>
          <w:rFonts w:ascii="Times New Roman" w:hAnsi="Times New Roman" w:cs="Times New Roman"/>
          <w:sz w:val="24"/>
          <w:szCs w:val="24"/>
          <w:lang w:val="sr-Cyrl-RS"/>
        </w:rPr>
        <w:t xml:space="preserve">делимично </w:t>
      </w:r>
      <w:proofErr w:type="spellStart"/>
      <w:r w:rsidRPr="00AC21D3">
        <w:rPr>
          <w:rFonts w:ascii="Times New Roman" w:hAnsi="Times New Roman" w:cs="Times New Roman"/>
          <w:sz w:val="24"/>
          <w:szCs w:val="24"/>
        </w:rPr>
        <w:t>одступањ</w:t>
      </w:r>
      <w:proofErr w:type="spellEnd"/>
      <w:r w:rsidR="0034119A" w:rsidRPr="00AC21D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C2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D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C2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D3">
        <w:rPr>
          <w:rFonts w:ascii="Times New Roman" w:hAnsi="Times New Roman" w:cs="Times New Roman"/>
          <w:sz w:val="24"/>
          <w:szCs w:val="24"/>
        </w:rPr>
        <w:t>професионалних</w:t>
      </w:r>
      <w:proofErr w:type="spellEnd"/>
      <w:r w:rsidRPr="00AC2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D3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="003A3F6B" w:rsidRPr="00AC21D3">
        <w:rPr>
          <w:rFonts w:ascii="Times New Roman" w:hAnsi="Times New Roman" w:cs="Times New Roman"/>
          <w:sz w:val="24"/>
          <w:szCs w:val="24"/>
          <w:lang w:val="sr-Cyrl-RS"/>
        </w:rPr>
        <w:t xml:space="preserve"> код </w:t>
      </w:r>
      <w:r w:rsidR="00AC21D3" w:rsidRPr="00AC21D3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r w:rsidR="007D71E2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proofErr w:type="gramStart"/>
      <w:r w:rsidR="007D71E2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3A3F6B" w:rsidRPr="00AC21D3">
        <w:rPr>
          <w:rFonts w:ascii="Times New Roman" w:hAnsi="Times New Roman" w:cs="Times New Roman"/>
          <w:sz w:val="24"/>
          <w:szCs w:val="24"/>
          <w:lang w:val="sr-Cyrl-RS"/>
        </w:rPr>
        <w:t>орисника</w:t>
      </w:r>
      <w:r w:rsidR="00AD7EDC" w:rsidRPr="00AC21D3">
        <w:rPr>
          <w:rFonts w:ascii="Times New Roman" w:hAnsi="Times New Roman" w:cs="Times New Roman"/>
          <w:sz w:val="24"/>
          <w:szCs w:val="24"/>
          <w:lang w:val="sr-Cyrl-RS"/>
        </w:rPr>
        <w:t>;</w:t>
      </w:r>
      <w:proofErr w:type="gramEnd"/>
    </w:p>
    <w:p w14:paraId="102BBE66" w14:textId="11F122E6" w:rsidR="003B59A8" w:rsidRDefault="00E94FEE" w:rsidP="005451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046D">
        <w:rPr>
          <w:rFonts w:ascii="Times New Roman" w:hAnsi="Times New Roman" w:cs="Times New Roman"/>
          <w:sz w:val="24"/>
          <w:szCs w:val="24"/>
          <w:lang w:val="sr-Cyrl-RS"/>
        </w:rPr>
        <w:t>- да</w:t>
      </w:r>
      <w:r w:rsidR="00FB225E"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046D" w:rsidRPr="0048046D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DD4AA1"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046D">
        <w:rPr>
          <w:rFonts w:ascii="Times New Roman" w:hAnsi="Times New Roman" w:cs="Times New Roman"/>
          <w:sz w:val="24"/>
          <w:szCs w:val="24"/>
          <w:lang w:val="sr-Cyrl-RS"/>
        </w:rPr>
        <w:t>корисни</w:t>
      </w:r>
      <w:r w:rsidR="00DD4AA1" w:rsidRPr="0048046D">
        <w:rPr>
          <w:rFonts w:ascii="Times New Roman" w:hAnsi="Times New Roman" w:cs="Times New Roman"/>
          <w:sz w:val="24"/>
          <w:szCs w:val="24"/>
          <w:lang w:val="sr-Cyrl-RS"/>
        </w:rPr>
        <w:t>к ни</w:t>
      </w:r>
      <w:r w:rsidR="0048046D" w:rsidRPr="0048046D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D4AA1"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046D">
        <w:rPr>
          <w:rFonts w:ascii="Times New Roman" w:hAnsi="Times New Roman" w:cs="Times New Roman"/>
          <w:sz w:val="24"/>
          <w:szCs w:val="24"/>
          <w:lang w:val="sr-Cyrl-RS"/>
        </w:rPr>
        <w:t>испоштов</w:t>
      </w:r>
      <w:r w:rsidR="0048046D" w:rsidRPr="0048046D">
        <w:rPr>
          <w:rFonts w:ascii="Times New Roman" w:hAnsi="Times New Roman" w:cs="Times New Roman"/>
          <w:sz w:val="24"/>
          <w:szCs w:val="24"/>
          <w:lang w:val="sr-Cyrl-RS"/>
        </w:rPr>
        <w:t>ао</w:t>
      </w:r>
      <w:r w:rsidR="00DD4AA1"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046D">
        <w:rPr>
          <w:rFonts w:ascii="Times New Roman" w:hAnsi="Times New Roman" w:cs="Times New Roman"/>
          <w:sz w:val="24"/>
          <w:szCs w:val="24"/>
          <w:lang w:val="sr-Cyrl-RS"/>
        </w:rPr>
        <w:t>уговорну обавезу и назначи</w:t>
      </w:r>
      <w:r w:rsidR="0048046D" w:rsidRPr="0048046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B225E"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да је садржај реализован у оквиру пројекта који је </w:t>
      </w:r>
      <w:proofErr w:type="spellStart"/>
      <w:r w:rsidRPr="0048046D">
        <w:rPr>
          <w:rFonts w:ascii="Times New Roman" w:hAnsi="Times New Roman" w:cs="Times New Roman"/>
          <w:sz w:val="24"/>
          <w:szCs w:val="24"/>
          <w:lang w:val="sr-Cyrl-RS"/>
        </w:rPr>
        <w:t>суфинансиран</w:t>
      </w:r>
      <w:proofErr w:type="spellEnd"/>
      <w:r w:rsidRPr="0048046D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Министарства</w:t>
      </w:r>
      <w:r w:rsidR="00FB225E" w:rsidRPr="0048046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39E48B8" w14:textId="2F0439E0" w:rsidR="00D7262F" w:rsidRDefault="00944A70" w:rsidP="00623A0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00215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944A70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00215">
        <w:rPr>
          <w:rFonts w:ascii="Times New Roman" w:hAnsi="Times New Roman" w:cs="Times New Roman"/>
          <w:sz w:val="24"/>
          <w:szCs w:val="24"/>
          <w:lang w:val="sr-Cyrl-RS"/>
        </w:rPr>
        <w:t xml:space="preserve">делимично </w:t>
      </w:r>
      <w:r w:rsidRPr="00944A70">
        <w:rPr>
          <w:rFonts w:ascii="Times New Roman" w:hAnsi="Times New Roman" w:cs="Times New Roman"/>
          <w:sz w:val="24"/>
          <w:szCs w:val="24"/>
          <w:lang w:val="sr-Cyrl-RS"/>
        </w:rPr>
        <w:t>испуњени циљеви пројекта</w:t>
      </w:r>
      <w:r w:rsidR="00900215">
        <w:rPr>
          <w:rFonts w:ascii="Times New Roman" w:hAnsi="Times New Roman" w:cs="Times New Roman"/>
          <w:sz w:val="24"/>
          <w:szCs w:val="24"/>
          <w:lang w:val="sr-Cyrl-RS"/>
        </w:rPr>
        <w:t xml:space="preserve"> код четири корисника</w:t>
      </w:r>
      <w:r w:rsidR="0028596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848EE4" w14:textId="77777777" w:rsidR="00623A08" w:rsidRDefault="00623A08" w:rsidP="00623A0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38B721" w14:textId="77777777" w:rsidR="00D7262F" w:rsidRPr="00D7262F" w:rsidRDefault="00D7262F" w:rsidP="00D7262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произведеног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медијског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дат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евалуацију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подржаних</w:t>
      </w:r>
      <w:proofErr w:type="spellEnd"/>
      <w:r w:rsidRPr="00D72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62F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</w:p>
    <w:p w14:paraId="65D63D89" w14:textId="77777777" w:rsidR="00D7262F" w:rsidRPr="00D7262F" w:rsidRDefault="00D7262F" w:rsidP="00D726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965"/>
        <w:gridCol w:w="555"/>
        <w:gridCol w:w="1278"/>
        <w:gridCol w:w="563"/>
        <w:gridCol w:w="1278"/>
        <w:gridCol w:w="1456"/>
        <w:gridCol w:w="1278"/>
      </w:tblGrid>
      <w:tr w:rsidR="00F42758" w14:paraId="25769EB2" w14:textId="77777777" w:rsidTr="006D3B04">
        <w:trPr>
          <w:trHeight w:val="440"/>
        </w:trPr>
        <w:tc>
          <w:tcPr>
            <w:tcW w:w="2124" w:type="dxa"/>
            <w:shd w:val="clear" w:color="auto" w:fill="B4C6E7" w:themeFill="accent1" w:themeFillTint="66"/>
          </w:tcPr>
          <w:p w14:paraId="07562962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Критеријуми</w:t>
            </w:r>
          </w:p>
        </w:tc>
        <w:tc>
          <w:tcPr>
            <w:tcW w:w="662" w:type="dxa"/>
            <w:shd w:val="clear" w:color="auto" w:fill="B4C6E7" w:themeFill="accent1" w:themeFillTint="66"/>
          </w:tcPr>
          <w:p w14:paraId="0F7E4648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205" w:type="dxa"/>
            <w:shd w:val="clear" w:color="auto" w:fill="B4C6E7" w:themeFill="accent1" w:themeFillTint="66"/>
          </w:tcPr>
          <w:p w14:paraId="7A5AFC0A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Проценат</w:t>
            </w:r>
          </w:p>
        </w:tc>
        <w:tc>
          <w:tcPr>
            <w:tcW w:w="574" w:type="dxa"/>
            <w:shd w:val="clear" w:color="auto" w:fill="B4C6E7" w:themeFill="accent1" w:themeFillTint="66"/>
          </w:tcPr>
          <w:p w14:paraId="0F83FB34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205" w:type="dxa"/>
            <w:shd w:val="clear" w:color="auto" w:fill="B4C6E7" w:themeFill="accent1" w:themeFillTint="66"/>
          </w:tcPr>
          <w:p w14:paraId="5548BF33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Проценат</w:t>
            </w:r>
          </w:p>
        </w:tc>
        <w:tc>
          <w:tcPr>
            <w:tcW w:w="1384" w:type="dxa"/>
            <w:shd w:val="clear" w:color="auto" w:fill="B4C6E7" w:themeFill="accent1" w:themeFillTint="66"/>
          </w:tcPr>
          <w:p w14:paraId="62DBE20A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Делимично</w:t>
            </w:r>
          </w:p>
        </w:tc>
        <w:tc>
          <w:tcPr>
            <w:tcW w:w="1205" w:type="dxa"/>
            <w:shd w:val="clear" w:color="auto" w:fill="B4C6E7" w:themeFill="accent1" w:themeFillTint="66"/>
          </w:tcPr>
          <w:p w14:paraId="287B83A8" w14:textId="77777777" w:rsidR="00F42758" w:rsidRPr="00535488" w:rsidRDefault="00F4275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35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Проценат</w:t>
            </w:r>
          </w:p>
        </w:tc>
      </w:tr>
      <w:tr w:rsidR="00F42758" w:rsidRPr="009412C9" w14:paraId="08F5B5DB" w14:textId="77777777" w:rsidTr="006D3B04">
        <w:trPr>
          <w:trHeight w:val="850"/>
        </w:trPr>
        <w:tc>
          <w:tcPr>
            <w:tcW w:w="2124" w:type="dxa"/>
          </w:tcPr>
          <w:p w14:paraId="52B2E443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9667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ли је корисник назначио да је садржај </w:t>
            </w:r>
            <w:proofErr w:type="spellStart"/>
            <w:r w:rsidRPr="009667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суфинансирао</w:t>
            </w:r>
            <w:proofErr w:type="spellEnd"/>
            <w:r w:rsidRPr="009667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орган који је доделио средства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33EBB0C3" w14:textId="55EC07A3" w:rsidR="00F42758" w:rsidRPr="009412C9" w:rsidRDefault="00C652E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1205" w:type="dxa"/>
          </w:tcPr>
          <w:p w14:paraId="73E8FB2F" w14:textId="14DBB16F" w:rsidR="00F42758" w:rsidRPr="009412C9" w:rsidRDefault="0025420B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81,81%</w:t>
            </w:r>
          </w:p>
        </w:tc>
        <w:tc>
          <w:tcPr>
            <w:tcW w:w="574" w:type="dxa"/>
          </w:tcPr>
          <w:p w14:paraId="4BF92BD1" w14:textId="4393E346" w:rsidR="00F42758" w:rsidRPr="009412C9" w:rsidRDefault="001C28FA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05" w:type="dxa"/>
          </w:tcPr>
          <w:p w14:paraId="3112C093" w14:textId="462A8C42" w:rsidR="00F42758" w:rsidRPr="009412C9" w:rsidRDefault="0004237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18,18%</w:t>
            </w:r>
          </w:p>
        </w:tc>
        <w:tc>
          <w:tcPr>
            <w:tcW w:w="1384" w:type="dxa"/>
          </w:tcPr>
          <w:p w14:paraId="3772A477" w14:textId="7F6998A0" w:rsidR="00F42758" w:rsidRPr="009412C9" w:rsidRDefault="00F743B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441C33A2" w14:textId="111123F2" w:rsidR="00F42758" w:rsidRPr="009412C9" w:rsidRDefault="00F743B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9412C9" w14:paraId="0E2AFA46" w14:textId="77777777" w:rsidTr="006D3B04">
        <w:trPr>
          <w:trHeight w:val="560"/>
        </w:trPr>
        <w:tc>
          <w:tcPr>
            <w:tcW w:w="2124" w:type="dxa"/>
          </w:tcPr>
          <w:p w14:paraId="554E4A87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0531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ли је корисник претежно користио сопствене капацитете за </w:t>
            </w:r>
            <w:r w:rsidRPr="000531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производњу садржаја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378E112F" w14:textId="581E3074" w:rsidR="00F42758" w:rsidRPr="00A95AE0" w:rsidRDefault="00E90AE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28</w:t>
            </w:r>
          </w:p>
        </w:tc>
        <w:tc>
          <w:tcPr>
            <w:tcW w:w="1205" w:type="dxa"/>
          </w:tcPr>
          <w:p w14:paraId="60360061" w14:textId="58101B36" w:rsidR="00F42758" w:rsidRPr="009412C9" w:rsidRDefault="007C150C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</w:t>
            </w:r>
            <w:r w:rsidR="006134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</w:t>
            </w:r>
          </w:p>
        </w:tc>
        <w:tc>
          <w:tcPr>
            <w:tcW w:w="574" w:type="dxa"/>
          </w:tcPr>
          <w:p w14:paraId="12B96DF2" w14:textId="6FD24C55" w:rsidR="00F42758" w:rsidRPr="009412C9" w:rsidRDefault="00B25C4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6EBB952F" w14:textId="4E0D92E6" w:rsidR="00F42758" w:rsidRPr="009412C9" w:rsidRDefault="0061349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2D5715B9" w14:textId="59C8FAA1" w:rsidR="00F42758" w:rsidRPr="009412C9" w:rsidRDefault="00F743B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00E9388C" w14:textId="0E43E61B" w:rsidR="00F42758" w:rsidRPr="009412C9" w:rsidRDefault="00F743B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9412C9" w14:paraId="2E73D858" w14:textId="77777777" w:rsidTr="006D3B04">
        <w:trPr>
          <w:trHeight w:val="848"/>
        </w:trPr>
        <w:tc>
          <w:tcPr>
            <w:tcW w:w="2124" w:type="dxa"/>
          </w:tcPr>
          <w:p w14:paraId="21D017BD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855F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медијски садржај реализован у складу са професионалним и етичким стандардима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472B7780" w14:textId="3462BAA4" w:rsidR="00F42758" w:rsidRPr="009412C9" w:rsidRDefault="007E3420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1205" w:type="dxa"/>
          </w:tcPr>
          <w:p w14:paraId="699456C8" w14:textId="0FE7AC33" w:rsidR="00F42758" w:rsidRPr="009412C9" w:rsidRDefault="007535A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72,72%</w:t>
            </w:r>
          </w:p>
        </w:tc>
        <w:tc>
          <w:tcPr>
            <w:tcW w:w="574" w:type="dxa"/>
          </w:tcPr>
          <w:p w14:paraId="7AD220C0" w14:textId="42703381" w:rsidR="00F42758" w:rsidRPr="009412C9" w:rsidRDefault="001211F2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6A3F6DBE" w14:textId="4E0070D5" w:rsidR="00F42758" w:rsidRPr="009412C9" w:rsidRDefault="003C7C51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1E6205F1" w14:textId="70A343E2" w:rsidR="00F42758" w:rsidRPr="009412C9" w:rsidRDefault="001211F2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05" w:type="dxa"/>
          </w:tcPr>
          <w:p w14:paraId="318AA1F4" w14:textId="71143A15" w:rsidR="00F42758" w:rsidRPr="009412C9" w:rsidRDefault="00DF625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12,12%</w:t>
            </w:r>
          </w:p>
        </w:tc>
      </w:tr>
      <w:tr w:rsidR="00F42758" w:rsidRPr="002E497B" w14:paraId="22F95C3B" w14:textId="77777777" w:rsidTr="006D3B04">
        <w:trPr>
          <w:trHeight w:val="714"/>
        </w:trPr>
        <w:tc>
          <w:tcPr>
            <w:tcW w:w="2124" w:type="dxa"/>
          </w:tcPr>
          <w:p w14:paraId="2D3F857B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CD10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пројекат реализован преко медија који је наведен у пријави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78F08D88" w14:textId="59485332" w:rsidR="00F42758" w:rsidRPr="009412C9" w:rsidRDefault="000A21C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3F72900B" w14:textId="0D71E091" w:rsidR="00F42758" w:rsidRPr="002E497B" w:rsidRDefault="004956F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290CD6BB" w14:textId="46AC8047" w:rsidR="00F42758" w:rsidRPr="002E497B" w:rsidRDefault="000A21C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6C968A83" w14:textId="25D45850" w:rsidR="00F42758" w:rsidRPr="002E497B" w:rsidRDefault="004956F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664CC7D6" w14:textId="62C1F8D6" w:rsidR="00F42758" w:rsidRPr="002E497B" w:rsidRDefault="000A21C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2A9B4D83" w14:textId="467409CD" w:rsidR="00F42758" w:rsidRPr="002E497B" w:rsidRDefault="000A21C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3989" w14:paraId="7631DCE7" w14:textId="77777777" w:rsidTr="006D3B04">
        <w:trPr>
          <w:trHeight w:val="1142"/>
        </w:trPr>
        <w:tc>
          <w:tcPr>
            <w:tcW w:w="2124" w:type="dxa"/>
          </w:tcPr>
          <w:p w14:paraId="5353FB67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135E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произведен планирани број медијских садржаја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57E0928E" w14:textId="0C8E4A5F" w:rsidR="00F42758" w:rsidRPr="00D73989" w:rsidRDefault="00FE3E2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5D634041" w14:textId="242F946F" w:rsidR="00F42758" w:rsidRPr="00D73989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43A4E251" w14:textId="49C7D090" w:rsidR="00F42758" w:rsidRPr="00D73989" w:rsidRDefault="00FE3E2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278B1C10" w14:textId="1F7F256A" w:rsidR="00F42758" w:rsidRPr="00D73989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1EC0551A" w14:textId="11990B0B" w:rsidR="00F42758" w:rsidRPr="00D73989" w:rsidRDefault="00FE3E2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538D7E44" w14:textId="37495999" w:rsidR="00F42758" w:rsidRPr="00D73989" w:rsidRDefault="00FE3E2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1802538C" w14:textId="77777777" w:rsidTr="006D3B04">
        <w:trPr>
          <w:trHeight w:val="1142"/>
        </w:trPr>
        <w:tc>
          <w:tcPr>
            <w:tcW w:w="2124" w:type="dxa"/>
          </w:tcPr>
          <w:p w14:paraId="71F480D4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8B54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су испуњени циљеви пројекта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4BFF290B" w14:textId="612F1F1A" w:rsidR="00F42758" w:rsidRPr="00D72C46" w:rsidRDefault="00F6680C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1205" w:type="dxa"/>
          </w:tcPr>
          <w:p w14:paraId="16D677B8" w14:textId="5C2831F4" w:rsidR="00F42758" w:rsidRPr="00D72C46" w:rsidRDefault="008E5FCB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72,72%</w:t>
            </w:r>
          </w:p>
        </w:tc>
        <w:tc>
          <w:tcPr>
            <w:tcW w:w="574" w:type="dxa"/>
          </w:tcPr>
          <w:p w14:paraId="3CBB96D3" w14:textId="67771A8F" w:rsidR="00F42758" w:rsidRPr="00771E4F" w:rsidRDefault="004D6E6F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0395F359" w14:textId="009D97B3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2AA556E1" w14:textId="6AB2C687" w:rsidR="00F42758" w:rsidRPr="00D72C46" w:rsidRDefault="004D6E6F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05" w:type="dxa"/>
          </w:tcPr>
          <w:p w14:paraId="2402BC66" w14:textId="31B904B3" w:rsidR="00F42758" w:rsidRPr="00D72C46" w:rsidRDefault="00DF625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62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12,12%</w:t>
            </w:r>
          </w:p>
        </w:tc>
      </w:tr>
      <w:tr w:rsidR="00F42758" w:rsidRPr="00D72C46" w14:paraId="27EDED9B" w14:textId="77777777" w:rsidTr="006D3B04">
        <w:trPr>
          <w:trHeight w:val="1142"/>
        </w:trPr>
        <w:tc>
          <w:tcPr>
            <w:tcW w:w="2124" w:type="dxa"/>
          </w:tcPr>
          <w:p w14:paraId="2C4BE812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E00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медијски садржај примерен наведеној циљној групи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7712B594" w14:textId="5F9C229A" w:rsidR="00F42758" w:rsidRPr="004500AF" w:rsidRDefault="000E0B31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23CCF411" w14:textId="0022E056" w:rsidR="00F42758" w:rsidRPr="00D72C46" w:rsidRDefault="008E5FCB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08BBE90D" w14:textId="03E8665C" w:rsidR="00F42758" w:rsidRPr="004500AF" w:rsidRDefault="000E0B31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2BE84608" w14:textId="690FA8DD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08D35E20" w14:textId="05AB86EE" w:rsidR="00F42758" w:rsidRPr="00D72C46" w:rsidRDefault="000E0B31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2FCEB476" w14:textId="20641215" w:rsidR="00F42758" w:rsidRPr="00D72C46" w:rsidRDefault="000E0B31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6D1362BC" w14:textId="77777777" w:rsidTr="006D3B04">
        <w:trPr>
          <w:trHeight w:val="1142"/>
        </w:trPr>
        <w:tc>
          <w:tcPr>
            <w:tcW w:w="2124" w:type="dxa"/>
          </w:tcPr>
          <w:p w14:paraId="6DC12BDF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B77E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су релевантни извори информација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26BCFEAD" w14:textId="48C3C639" w:rsidR="00F42758" w:rsidRPr="004500AF" w:rsidRDefault="000E05C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3B8305A5" w14:textId="7B6CDE23" w:rsidR="00F42758" w:rsidRPr="00D72C46" w:rsidRDefault="008E5FCB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E5F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2C7C59C4" w14:textId="199865BB" w:rsidR="00F42758" w:rsidRPr="002817D9" w:rsidRDefault="000E05C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398C9157" w14:textId="6B62DF90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60B087FA" w14:textId="0683756D" w:rsidR="00F42758" w:rsidRPr="00D72C46" w:rsidRDefault="000E05C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6F5D65B2" w14:textId="7C3C9CCD" w:rsidR="00F42758" w:rsidRPr="00D72C46" w:rsidRDefault="000E05C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0D453610" w14:textId="77777777" w:rsidTr="006D3B04">
        <w:trPr>
          <w:trHeight w:val="1142"/>
        </w:trPr>
        <w:tc>
          <w:tcPr>
            <w:tcW w:w="2124" w:type="dxa"/>
          </w:tcPr>
          <w:p w14:paraId="1BBFB6EB" w14:textId="77777777" w:rsidR="00F42758" w:rsidRPr="00E4159F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A343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произведени медијски садржај приступачан особама са инвалидитетом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24D90926" w14:textId="2404C2EF" w:rsidR="00F42758" w:rsidRPr="0079455D" w:rsidRDefault="00257C23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05" w:type="dxa"/>
          </w:tcPr>
          <w:p w14:paraId="3540BDFD" w14:textId="37BA6798" w:rsidR="00F42758" w:rsidRPr="00D72C46" w:rsidRDefault="00D45728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12,12%</w:t>
            </w:r>
          </w:p>
        </w:tc>
        <w:tc>
          <w:tcPr>
            <w:tcW w:w="574" w:type="dxa"/>
          </w:tcPr>
          <w:p w14:paraId="0FC55BD2" w14:textId="40245AC6" w:rsidR="00F42758" w:rsidRPr="000A64A3" w:rsidRDefault="0014190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205" w:type="dxa"/>
          </w:tcPr>
          <w:p w14:paraId="216030A7" w14:textId="4B907325" w:rsidR="00F42758" w:rsidRPr="00D72C46" w:rsidRDefault="0039519C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87,87%</w:t>
            </w:r>
          </w:p>
        </w:tc>
        <w:tc>
          <w:tcPr>
            <w:tcW w:w="1384" w:type="dxa"/>
          </w:tcPr>
          <w:p w14:paraId="02373457" w14:textId="4DBB3DEA" w:rsidR="00F42758" w:rsidRPr="00D72C46" w:rsidRDefault="0014190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1ADF8D87" w14:textId="234307A3" w:rsidR="00F42758" w:rsidRPr="00D72C46" w:rsidRDefault="0014190E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78F1329B" w14:textId="77777777" w:rsidTr="006D3B04">
        <w:trPr>
          <w:trHeight w:val="1142"/>
        </w:trPr>
        <w:tc>
          <w:tcPr>
            <w:tcW w:w="2124" w:type="dxa"/>
          </w:tcPr>
          <w:p w14:paraId="3337A8E7" w14:textId="77777777" w:rsidR="00F42758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C724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корисник наменски користио додељена средства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79577C62" w14:textId="0A858E2F" w:rsidR="00F42758" w:rsidRPr="00DD3802" w:rsidRDefault="00A00C3A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2C4BACF8" w14:textId="1BD877E3" w:rsidR="00F42758" w:rsidRPr="00D72C46" w:rsidRDefault="00AE1310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6E377930" w14:textId="6C39D7CD" w:rsidR="00F42758" w:rsidRPr="00DD3802" w:rsidRDefault="00CA6BB2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61311122" w14:textId="05A1DB64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326B385E" w14:textId="0218CC30" w:rsidR="00F42758" w:rsidRPr="00D72C46" w:rsidRDefault="00CA6BB2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565E4105" w14:textId="0C5DF288" w:rsidR="00F42758" w:rsidRPr="00D72C46" w:rsidRDefault="00CA6BB2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38AB7676" w14:textId="77777777" w:rsidTr="006D3B04">
        <w:trPr>
          <w:trHeight w:val="1142"/>
        </w:trPr>
        <w:tc>
          <w:tcPr>
            <w:tcW w:w="2124" w:type="dxa"/>
          </w:tcPr>
          <w:p w14:paraId="582F63AF" w14:textId="77777777" w:rsidR="00F42758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</w:t>
            </w:r>
            <w:r w:rsidRPr="00CF12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корисник доставио финансијску документацију за правдање планираних трошкова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2D1028B0" w14:textId="48A61536" w:rsidR="00F42758" w:rsidRPr="00C45D2D" w:rsidRDefault="006C09E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5FF5A1EE" w14:textId="4E858F41" w:rsidR="00F42758" w:rsidRPr="00D72C46" w:rsidRDefault="00AE1310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3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6D5217ED" w14:textId="26888EA3" w:rsidR="00F42758" w:rsidRPr="00C45D2D" w:rsidRDefault="006C09E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016CD198" w14:textId="14E1E81E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46B15650" w14:textId="5FD4CAC5" w:rsidR="00F42758" w:rsidRPr="00D72C46" w:rsidRDefault="006C09E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1C490758" w14:textId="0173D351" w:rsidR="00F42758" w:rsidRPr="00D72C46" w:rsidRDefault="006C09E6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1981767D" w14:textId="77777777" w:rsidTr="006D3B04">
        <w:trPr>
          <w:trHeight w:val="1142"/>
        </w:trPr>
        <w:tc>
          <w:tcPr>
            <w:tcW w:w="2124" w:type="dxa"/>
          </w:tcPr>
          <w:p w14:paraId="24EC6F40" w14:textId="77777777" w:rsidR="00F42758" w:rsidRPr="00CF1273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9A2A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корисник кроз финансијски извештај приказао учешће сопствених средстава односно средстава из других извора за реализацију пројекта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1D74B0AF" w14:textId="41533EC8" w:rsidR="00F42758" w:rsidRPr="00DD4D44" w:rsidRDefault="005B611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20AAF986" w14:textId="4629AAB2" w:rsidR="00F42758" w:rsidRPr="00D72C46" w:rsidRDefault="00AE1310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3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5A335C40" w14:textId="319C5892" w:rsidR="00F42758" w:rsidRPr="00DD4D44" w:rsidRDefault="005B611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7F66E388" w14:textId="2D16CF11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2933C1E8" w14:textId="55FEB1AE" w:rsidR="00F42758" w:rsidRPr="00D72C46" w:rsidRDefault="005B611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41A2B188" w14:textId="26F3357B" w:rsidR="00F42758" w:rsidRPr="00D72C46" w:rsidRDefault="005B611D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F42758" w:rsidRPr="00D72C46" w14:paraId="22A347DA" w14:textId="77777777" w:rsidTr="006D3B04">
        <w:trPr>
          <w:trHeight w:val="1142"/>
        </w:trPr>
        <w:tc>
          <w:tcPr>
            <w:tcW w:w="2124" w:type="dxa"/>
          </w:tcPr>
          <w:p w14:paraId="16AB6936" w14:textId="77777777" w:rsidR="00F42758" w:rsidRDefault="00F42758" w:rsidP="006D3B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C82D4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ли је остварена намена конкурса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662" w:type="dxa"/>
          </w:tcPr>
          <w:p w14:paraId="48F00140" w14:textId="70748A98" w:rsidR="00F42758" w:rsidRPr="00EC1FBF" w:rsidRDefault="003337A5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205" w:type="dxa"/>
          </w:tcPr>
          <w:p w14:paraId="3A6CDCC7" w14:textId="45D33659" w:rsidR="00F42758" w:rsidRPr="00D72C46" w:rsidRDefault="00AE1310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3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84,84%</w:t>
            </w:r>
          </w:p>
        </w:tc>
        <w:tc>
          <w:tcPr>
            <w:tcW w:w="574" w:type="dxa"/>
          </w:tcPr>
          <w:p w14:paraId="7D5E80AD" w14:textId="41F5CB60" w:rsidR="00F42758" w:rsidRPr="00EC1FBF" w:rsidRDefault="003337A5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05" w:type="dxa"/>
          </w:tcPr>
          <w:p w14:paraId="2D7B6A81" w14:textId="341629E5" w:rsidR="00F42758" w:rsidRPr="00D72C46" w:rsidRDefault="00495CB9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5C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15,15%</w:t>
            </w:r>
          </w:p>
        </w:tc>
        <w:tc>
          <w:tcPr>
            <w:tcW w:w="1384" w:type="dxa"/>
          </w:tcPr>
          <w:p w14:paraId="72B1A1DD" w14:textId="0D87F9EB" w:rsidR="00F42758" w:rsidRPr="00D72C46" w:rsidRDefault="003337A5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205" w:type="dxa"/>
          </w:tcPr>
          <w:p w14:paraId="239B94AC" w14:textId="348B7042" w:rsidR="00F42758" w:rsidRPr="00D72C46" w:rsidRDefault="003337A5" w:rsidP="006D3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4AD60083" w14:textId="77777777" w:rsidR="00D7262F" w:rsidRPr="00D7262F" w:rsidRDefault="00D7262F" w:rsidP="00D459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A1E5F1" w14:textId="0020BAF5" w:rsidR="0087751F" w:rsidRDefault="00860108" w:rsidP="00D459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4FA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r w:rsidR="0087751F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, </w:t>
      </w:r>
      <w:r w:rsidR="00AF638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1176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E54C6E" w:rsidRPr="00E54C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(</w:t>
      </w:r>
      <w:r w:rsidR="00AF6380" w:rsidRPr="0065248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E6679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4C6E" w:rsidRPr="00E54C6E">
        <w:rPr>
          <w:rFonts w:ascii="Times New Roman" w:hAnsi="Times New Roman" w:cs="Times New Roman"/>
          <w:sz w:val="24"/>
          <w:szCs w:val="24"/>
        </w:rPr>
        <w:t xml:space="preserve">%), </w:t>
      </w:r>
      <w:r w:rsidR="00C9796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B2710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710" w:rsidRPr="00E54C6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2B2710" w:rsidRPr="00E54C6E">
        <w:rPr>
          <w:rFonts w:ascii="Times New Roman" w:hAnsi="Times New Roman" w:cs="Times New Roman"/>
          <w:sz w:val="24"/>
          <w:szCs w:val="24"/>
        </w:rPr>
        <w:t xml:space="preserve"> </w:t>
      </w:r>
      <w:r w:rsidR="002B2710">
        <w:rPr>
          <w:rFonts w:ascii="Times New Roman" w:hAnsi="Times New Roman" w:cs="Times New Roman"/>
          <w:sz w:val="24"/>
          <w:szCs w:val="24"/>
          <w:lang w:val="sr-Cyrl-RS"/>
        </w:rPr>
        <w:t xml:space="preserve">делимично испуњава стандарде </w:t>
      </w:r>
      <w:r w:rsidR="00FA17AA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A5DD8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FA17AA">
        <w:rPr>
          <w:rFonts w:ascii="Times New Roman" w:hAnsi="Times New Roman" w:cs="Times New Roman"/>
          <w:sz w:val="24"/>
          <w:szCs w:val="24"/>
          <w:lang w:val="sr-Cyrl-RS"/>
        </w:rPr>
        <w:t xml:space="preserve">%), </w:t>
      </w:r>
      <w:r w:rsidR="00FE1EFB">
        <w:rPr>
          <w:rFonts w:ascii="Times New Roman" w:hAnsi="Times New Roman" w:cs="Times New Roman"/>
          <w:sz w:val="24"/>
          <w:szCs w:val="24"/>
          <w:lang w:val="sr-Cyrl-RS"/>
        </w:rPr>
        <w:t xml:space="preserve">док </w:t>
      </w:r>
      <w:r w:rsidR="004A5DD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E1E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пројек</w:t>
      </w:r>
      <w:proofErr w:type="spellEnd"/>
      <w:r w:rsidR="004A5DD8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C40F12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(</w:t>
      </w:r>
      <w:r w:rsidR="004A5DD8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E54C6E" w:rsidRPr="00E54C6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категорију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неиспуњавања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r w:rsidR="00C40F12">
        <w:rPr>
          <w:rFonts w:ascii="Times New Roman" w:hAnsi="Times New Roman" w:cs="Times New Roman"/>
          <w:sz w:val="24"/>
          <w:szCs w:val="24"/>
          <w:lang w:val="sr-Cyrl-RS"/>
        </w:rPr>
        <w:t xml:space="preserve">чине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пројекти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r w:rsidR="00C40F12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садржаји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="00C40F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="00E54C6E" w:rsidRPr="00E54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6E" w:rsidRPr="00E54C6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40F12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корисника средстава</w:t>
      </w:r>
      <w:r w:rsidR="00E54C6E" w:rsidRPr="00E54C6E">
        <w:rPr>
          <w:rFonts w:ascii="Times New Roman" w:hAnsi="Times New Roman" w:cs="Times New Roman"/>
          <w:sz w:val="24"/>
          <w:szCs w:val="24"/>
        </w:rPr>
        <w:t>.</w:t>
      </w:r>
      <w:r w:rsidRPr="00C44FA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CD5301" w14:textId="77777777" w:rsidR="00AA41A6" w:rsidRPr="00473A24" w:rsidRDefault="00AA41A6" w:rsidP="00D459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1DB061" w14:textId="7347CAD6" w:rsidR="00860108" w:rsidRPr="00A3099F" w:rsidRDefault="00860108" w:rsidP="00D459D1">
      <w:pPr>
        <w:jc w:val="both"/>
        <w:rPr>
          <w:rFonts w:ascii="Times New Roman" w:hAnsi="Times New Roman" w:cs="Times New Roman"/>
          <w:sz w:val="24"/>
          <w:szCs w:val="24"/>
        </w:rPr>
      </w:pPr>
      <w:r w:rsidRPr="00C44FA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FB73628" w14:textId="77777777" w:rsidR="00860108" w:rsidRPr="00C44FA4" w:rsidRDefault="00860108" w:rsidP="0086010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44FA4">
        <w:rPr>
          <w:rFonts w:ascii="Times New Roman" w:hAnsi="Times New Roman" w:cs="Times New Roman"/>
          <w:b/>
          <w:sz w:val="24"/>
          <w:szCs w:val="24"/>
        </w:rPr>
        <w:t xml:space="preserve">III </w:t>
      </w:r>
      <w:proofErr w:type="spellStart"/>
      <w:r w:rsidRPr="00C44FA4">
        <w:rPr>
          <w:rFonts w:ascii="Times New Roman" w:hAnsi="Times New Roman" w:cs="Times New Roman"/>
          <w:b/>
          <w:sz w:val="24"/>
          <w:szCs w:val="24"/>
        </w:rPr>
        <w:t>Закључна</w:t>
      </w:r>
      <w:proofErr w:type="spellEnd"/>
      <w:r w:rsidRPr="00C44F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4FA4">
        <w:rPr>
          <w:rFonts w:ascii="Times New Roman" w:hAnsi="Times New Roman" w:cs="Times New Roman"/>
          <w:b/>
          <w:sz w:val="24"/>
          <w:szCs w:val="24"/>
        </w:rPr>
        <w:t>разматрања</w:t>
      </w:r>
      <w:proofErr w:type="spellEnd"/>
      <w:r w:rsidRPr="00C44F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098C7D0A" w14:textId="77777777" w:rsidR="0084493A" w:rsidRPr="0084493A" w:rsidRDefault="00C16E76" w:rsidP="0084493A">
      <w:pPr>
        <w:pStyle w:val="Body"/>
        <w:numPr>
          <w:ilvl w:val="0"/>
          <w:numId w:val="3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hanging="357"/>
        <w:jc w:val="both"/>
        <w:rPr>
          <w:rFonts w:ascii="Times New Roman" w:hAnsi="Times New Roman"/>
          <w:szCs w:val="24"/>
        </w:rPr>
      </w:pPr>
      <w:proofErr w:type="spellStart"/>
      <w:r w:rsidRPr="00C16E76">
        <w:rPr>
          <w:rFonts w:ascii="Times New Roman" w:hAnsi="Times New Roman"/>
          <w:szCs w:val="24"/>
        </w:rPr>
        <w:t>Јавна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средства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су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распоређена</w:t>
      </w:r>
      <w:proofErr w:type="spellEnd"/>
      <w:r w:rsidRPr="00C16E76">
        <w:rPr>
          <w:rFonts w:ascii="Times New Roman" w:hAnsi="Times New Roman"/>
          <w:szCs w:val="24"/>
        </w:rPr>
        <w:t xml:space="preserve"> у </w:t>
      </w:r>
      <w:proofErr w:type="spellStart"/>
      <w:r w:rsidRPr="00C16E76">
        <w:rPr>
          <w:rFonts w:ascii="Times New Roman" w:hAnsi="Times New Roman"/>
          <w:szCs w:val="24"/>
        </w:rPr>
        <w:t>сврху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остваривања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јавног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интереса</w:t>
      </w:r>
      <w:proofErr w:type="spellEnd"/>
      <w:r w:rsidRPr="00C16E76">
        <w:rPr>
          <w:rFonts w:ascii="Times New Roman" w:hAnsi="Times New Roman"/>
          <w:szCs w:val="24"/>
        </w:rPr>
        <w:t xml:space="preserve"> у </w:t>
      </w:r>
      <w:proofErr w:type="spellStart"/>
      <w:r w:rsidRPr="00C16E76">
        <w:rPr>
          <w:rFonts w:ascii="Times New Roman" w:hAnsi="Times New Roman"/>
          <w:szCs w:val="24"/>
        </w:rPr>
        <w:t>области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r w:rsidRPr="00C16E76">
        <w:rPr>
          <w:rFonts w:ascii="Times New Roman" w:hAnsi="Times New Roman"/>
          <w:szCs w:val="24"/>
        </w:rPr>
        <w:t>јавног</w:t>
      </w:r>
      <w:proofErr w:type="spellEnd"/>
      <w:r w:rsidRPr="00C16E76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16E76">
        <w:rPr>
          <w:rFonts w:ascii="Times New Roman" w:hAnsi="Times New Roman"/>
          <w:szCs w:val="24"/>
        </w:rPr>
        <w:t>информисања</w:t>
      </w:r>
      <w:proofErr w:type="spellEnd"/>
      <w:r w:rsidRPr="00C16E76">
        <w:rPr>
          <w:rFonts w:ascii="Times New Roman" w:hAnsi="Times New Roman"/>
          <w:szCs w:val="24"/>
        </w:rPr>
        <w:t>;</w:t>
      </w:r>
      <w:proofErr w:type="gramEnd"/>
    </w:p>
    <w:p w14:paraId="65CB4B60" w14:textId="35BBF5A2" w:rsidR="0084493A" w:rsidRPr="0084493A" w:rsidRDefault="00C16E76" w:rsidP="0084493A">
      <w:pPr>
        <w:pStyle w:val="Body"/>
        <w:numPr>
          <w:ilvl w:val="0"/>
          <w:numId w:val="3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hanging="357"/>
        <w:jc w:val="both"/>
        <w:rPr>
          <w:rFonts w:ascii="Times New Roman" w:hAnsi="Times New Roman"/>
          <w:szCs w:val="24"/>
        </w:rPr>
      </w:pPr>
      <w:proofErr w:type="spellStart"/>
      <w:r w:rsidRPr="0084493A">
        <w:rPr>
          <w:rFonts w:ascii="Times New Roman" w:hAnsi="Times New Roman"/>
          <w:szCs w:val="24"/>
        </w:rPr>
        <w:t>Већина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пројеката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је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подржана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мањим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износом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од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траженог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r w:rsidRPr="0084493A">
        <w:rPr>
          <w:rFonts w:ascii="Times New Roman" w:hAnsi="Times New Roman"/>
          <w:szCs w:val="24"/>
        </w:rPr>
        <w:t>износа</w:t>
      </w:r>
      <w:proofErr w:type="spellEnd"/>
      <w:r w:rsidRPr="0084493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4493A">
        <w:rPr>
          <w:rFonts w:ascii="Times New Roman" w:hAnsi="Times New Roman"/>
          <w:szCs w:val="24"/>
        </w:rPr>
        <w:t>средстава</w:t>
      </w:r>
      <w:proofErr w:type="spellEnd"/>
      <w:r w:rsidRPr="0084493A">
        <w:rPr>
          <w:rFonts w:ascii="Times New Roman" w:hAnsi="Times New Roman"/>
          <w:szCs w:val="24"/>
        </w:rPr>
        <w:t>;</w:t>
      </w:r>
      <w:proofErr w:type="gramEnd"/>
    </w:p>
    <w:p w14:paraId="37ABF996" w14:textId="5955924B" w:rsidR="00D459D1" w:rsidRPr="00EE6C9B" w:rsidRDefault="00E54A56" w:rsidP="00860108">
      <w:pPr>
        <w:pStyle w:val="Body"/>
        <w:numPr>
          <w:ilvl w:val="0"/>
          <w:numId w:val="3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0" w:hanging="357"/>
        <w:jc w:val="both"/>
        <w:rPr>
          <w:rFonts w:ascii="Times New Roman" w:eastAsiaTheme="minorHAnsi" w:hAnsi="Times New Roman"/>
          <w:color w:val="auto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Два</w:t>
      </w:r>
      <w:r w:rsidR="002B18ED" w:rsidRPr="00FB61E7">
        <w:rPr>
          <w:rFonts w:ascii="Times New Roman" w:hAnsi="Times New Roman"/>
          <w:szCs w:val="24"/>
          <w:lang w:val="sr-Cyrl-RS"/>
        </w:rPr>
        <w:t xml:space="preserve"> корисник</w:t>
      </w:r>
      <w:r w:rsidR="0035386C" w:rsidRPr="00FB61E7">
        <w:rPr>
          <w:rFonts w:ascii="Times New Roman" w:hAnsi="Times New Roman"/>
          <w:szCs w:val="24"/>
          <w:lang w:val="sr-Cyrl-RS"/>
        </w:rPr>
        <w:t>а</w:t>
      </w:r>
      <w:r w:rsidR="002B18ED" w:rsidRPr="00FB61E7">
        <w:rPr>
          <w:rFonts w:ascii="Times New Roman" w:hAnsi="Times New Roman"/>
          <w:szCs w:val="24"/>
          <w:lang w:val="sr-Cyrl-RS"/>
        </w:rPr>
        <w:t xml:space="preserve"> ни</w:t>
      </w:r>
      <w:r w:rsidR="0035386C" w:rsidRPr="00FB61E7">
        <w:rPr>
          <w:rFonts w:ascii="Times New Roman" w:hAnsi="Times New Roman"/>
          <w:szCs w:val="24"/>
          <w:lang w:val="sr-Cyrl-RS"/>
        </w:rPr>
        <w:t>су</w:t>
      </w:r>
      <w:r w:rsidR="002B18ED" w:rsidRPr="00FB61E7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D459D1" w:rsidRPr="00FB61E7">
        <w:rPr>
          <w:rFonts w:ascii="Times New Roman" w:hAnsi="Times New Roman"/>
          <w:szCs w:val="24"/>
        </w:rPr>
        <w:t>достави</w:t>
      </w:r>
      <w:proofErr w:type="spellEnd"/>
      <w:r w:rsidR="0035386C" w:rsidRPr="00FB61E7">
        <w:rPr>
          <w:rFonts w:ascii="Times New Roman" w:hAnsi="Times New Roman"/>
          <w:szCs w:val="24"/>
          <w:lang w:val="sr-Cyrl-RS"/>
        </w:rPr>
        <w:t>ла</w:t>
      </w:r>
      <w:r w:rsidR="00D30221" w:rsidRPr="00FB61E7">
        <w:rPr>
          <w:rFonts w:ascii="Times New Roman" w:hAnsi="Times New Roman"/>
          <w:szCs w:val="24"/>
        </w:rPr>
        <w:t xml:space="preserve"> </w:t>
      </w:r>
      <w:proofErr w:type="spellStart"/>
      <w:r w:rsidR="00D30221" w:rsidRPr="00FB61E7">
        <w:rPr>
          <w:rFonts w:ascii="Times New Roman" w:hAnsi="Times New Roman"/>
          <w:szCs w:val="24"/>
        </w:rPr>
        <w:t>Министарству</w:t>
      </w:r>
      <w:proofErr w:type="spellEnd"/>
      <w:r w:rsidR="00D30221" w:rsidRPr="00FB61E7">
        <w:rPr>
          <w:rFonts w:ascii="Times New Roman" w:hAnsi="Times New Roman"/>
          <w:szCs w:val="24"/>
        </w:rPr>
        <w:t xml:space="preserve"> </w:t>
      </w:r>
      <w:proofErr w:type="spellStart"/>
      <w:r w:rsidR="00D30221" w:rsidRPr="00FB61E7">
        <w:rPr>
          <w:rFonts w:ascii="Times New Roman" w:hAnsi="Times New Roman"/>
          <w:szCs w:val="24"/>
        </w:rPr>
        <w:t>извештај</w:t>
      </w:r>
      <w:proofErr w:type="spellEnd"/>
      <w:r w:rsidR="00D30221" w:rsidRPr="00FB61E7">
        <w:rPr>
          <w:rFonts w:ascii="Times New Roman" w:hAnsi="Times New Roman"/>
          <w:szCs w:val="24"/>
        </w:rPr>
        <w:t xml:space="preserve"> о </w:t>
      </w:r>
      <w:proofErr w:type="spellStart"/>
      <w:r w:rsidR="00D30221" w:rsidRPr="00FB61E7">
        <w:rPr>
          <w:rFonts w:ascii="Times New Roman" w:hAnsi="Times New Roman"/>
          <w:szCs w:val="24"/>
        </w:rPr>
        <w:t>реализацији</w:t>
      </w:r>
      <w:proofErr w:type="spellEnd"/>
      <w:r w:rsidR="00D30221" w:rsidRPr="00FB61E7">
        <w:rPr>
          <w:rFonts w:ascii="Times New Roman" w:hAnsi="Times New Roman"/>
          <w:szCs w:val="24"/>
        </w:rPr>
        <w:t xml:space="preserve"> </w:t>
      </w:r>
      <w:proofErr w:type="spellStart"/>
      <w:r w:rsidR="00D30221" w:rsidRPr="00FB61E7">
        <w:rPr>
          <w:rFonts w:ascii="Times New Roman" w:hAnsi="Times New Roman"/>
          <w:szCs w:val="24"/>
        </w:rPr>
        <w:t>пројекта</w:t>
      </w:r>
      <w:proofErr w:type="spellEnd"/>
      <w:r w:rsidR="00FB61E7" w:rsidRPr="00FB61E7">
        <w:rPr>
          <w:rFonts w:ascii="Times New Roman" w:hAnsi="Times New Roman"/>
          <w:szCs w:val="24"/>
          <w:lang w:val="sr-Cyrl-RS"/>
        </w:rPr>
        <w:t>;</w:t>
      </w:r>
    </w:p>
    <w:p w14:paraId="6020A53A" w14:textId="6D6DAB1F" w:rsidR="00EE6C9B" w:rsidRPr="00FB61E7" w:rsidRDefault="00EE6C9B" w:rsidP="00860108">
      <w:pPr>
        <w:pStyle w:val="Body"/>
        <w:numPr>
          <w:ilvl w:val="0"/>
          <w:numId w:val="3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0" w:hanging="357"/>
        <w:jc w:val="both"/>
        <w:rPr>
          <w:rFonts w:ascii="Times New Roman" w:eastAsiaTheme="minorHAnsi" w:hAnsi="Times New Roman"/>
          <w:color w:val="auto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Три корисника н</w:t>
      </w:r>
      <w:r w:rsidR="009701DB">
        <w:rPr>
          <w:rFonts w:ascii="Times New Roman" w:hAnsi="Times New Roman"/>
          <w:szCs w:val="24"/>
          <w:lang w:val="sr-Cyrl-RS"/>
        </w:rPr>
        <w:t>ису доставил</w:t>
      </w:r>
      <w:r w:rsidR="00623A59">
        <w:rPr>
          <w:rFonts w:ascii="Times New Roman" w:hAnsi="Times New Roman"/>
          <w:szCs w:val="24"/>
          <w:lang w:val="sr-Cyrl-RS"/>
        </w:rPr>
        <w:t>а</w:t>
      </w:r>
      <w:r w:rsidR="009701DB">
        <w:rPr>
          <w:rFonts w:ascii="Times New Roman" w:hAnsi="Times New Roman"/>
          <w:szCs w:val="24"/>
          <w:lang w:val="sr-Cyrl-RS"/>
        </w:rPr>
        <w:t xml:space="preserve"> произведени медијски садржај;</w:t>
      </w:r>
    </w:p>
    <w:p w14:paraId="0BC3FC69" w14:textId="39631EB3" w:rsidR="00B04FAB" w:rsidRPr="00ED001A" w:rsidRDefault="00B04FAB" w:rsidP="00ED001A">
      <w:pPr>
        <w:pStyle w:val="Body"/>
        <w:numPr>
          <w:ilvl w:val="0"/>
          <w:numId w:val="3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hanging="357"/>
        <w:jc w:val="both"/>
        <w:rPr>
          <w:rFonts w:ascii="Times New Roman" w:eastAsiaTheme="minorHAnsi" w:hAnsi="Times New Roman"/>
          <w:color w:val="auto"/>
          <w:szCs w:val="24"/>
          <w:lang w:val="sr-Cyrl-CS"/>
        </w:rPr>
      </w:pPr>
      <w:r w:rsidRPr="00B04FAB">
        <w:rPr>
          <w:rFonts w:ascii="Times New Roman" w:hAnsi="Times New Roman"/>
          <w:szCs w:val="24"/>
          <w:lang w:val="sr-Cyrl-CS"/>
        </w:rPr>
        <w:t>Највећи број пројеката реализовали су предузетници и привредна друштва;</w:t>
      </w:r>
    </w:p>
    <w:p w14:paraId="7EEEBBCC" w14:textId="1DF664DE" w:rsidR="008C23AE" w:rsidRPr="008C23AE" w:rsidRDefault="008C23AE" w:rsidP="008C23AE">
      <w:pPr>
        <w:pStyle w:val="Body"/>
        <w:numPr>
          <w:ilvl w:val="0"/>
          <w:numId w:val="3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hanging="357"/>
        <w:jc w:val="both"/>
        <w:rPr>
          <w:rFonts w:ascii="Times New Roman" w:eastAsiaTheme="minorHAnsi" w:hAnsi="Times New Roman"/>
          <w:color w:val="auto"/>
          <w:szCs w:val="24"/>
          <w:lang w:val="sr-Cyrl-CS"/>
        </w:rPr>
      </w:pPr>
      <w:r w:rsidRPr="008C23AE">
        <w:rPr>
          <w:rFonts w:ascii="Times New Roman" w:hAnsi="Times New Roman"/>
          <w:szCs w:val="24"/>
          <w:lang w:val="sr-Cyrl-CS"/>
        </w:rPr>
        <w:t>Медијски садржаји су, у највећој мери, реализовани у складу са професионалним стандардима</w:t>
      </w:r>
      <w:r w:rsidR="00A52862">
        <w:rPr>
          <w:rFonts w:ascii="Times New Roman" w:hAnsi="Times New Roman"/>
          <w:szCs w:val="24"/>
          <w:lang w:val="sr-Cyrl-CS"/>
        </w:rPr>
        <w:t xml:space="preserve">, док </w:t>
      </w:r>
      <w:r w:rsidR="00EB5592">
        <w:rPr>
          <w:rFonts w:ascii="Times New Roman" w:hAnsi="Times New Roman"/>
          <w:szCs w:val="24"/>
          <w:lang w:val="sr-Cyrl-CS"/>
        </w:rPr>
        <w:t>је код четири корисника утврђено делимично одступање од професионалних стандарда.</w:t>
      </w:r>
    </w:p>
    <w:p w14:paraId="1019AB0F" w14:textId="77777777" w:rsidR="008C23AE" w:rsidRPr="00513E4A" w:rsidRDefault="008C23AE" w:rsidP="008C23AE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Theme="minorHAnsi" w:hAnsi="Times New Roman"/>
          <w:color w:val="auto"/>
          <w:szCs w:val="24"/>
          <w:lang w:val="sr-Cyrl-CS"/>
        </w:rPr>
      </w:pPr>
    </w:p>
    <w:p w14:paraId="19F88DE3" w14:textId="77777777" w:rsidR="00860108" w:rsidRPr="00C44FA4" w:rsidRDefault="00860108" w:rsidP="00860108">
      <w:pPr>
        <w:pStyle w:val="Body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70BB624E" w14:textId="77777777" w:rsidR="00860108" w:rsidRDefault="00860108"/>
    <w:sectPr w:rsidR="0086010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E9D7" w14:textId="77777777" w:rsidR="00C131E1" w:rsidRDefault="00C131E1" w:rsidP="00D779A3">
      <w:pPr>
        <w:spacing w:after="0" w:line="240" w:lineRule="auto"/>
      </w:pPr>
      <w:r>
        <w:separator/>
      </w:r>
    </w:p>
  </w:endnote>
  <w:endnote w:type="continuationSeparator" w:id="0">
    <w:p w14:paraId="26F7DA63" w14:textId="77777777" w:rsidR="00C131E1" w:rsidRDefault="00C131E1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557F" w14:textId="77777777" w:rsidR="00C131E1" w:rsidRDefault="00C131E1" w:rsidP="00D779A3">
      <w:pPr>
        <w:spacing w:after="0" w:line="240" w:lineRule="auto"/>
      </w:pPr>
      <w:r>
        <w:separator/>
      </w:r>
    </w:p>
  </w:footnote>
  <w:footnote w:type="continuationSeparator" w:id="0">
    <w:p w14:paraId="463EF750" w14:textId="77777777" w:rsidR="00C131E1" w:rsidRDefault="00C131E1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8AB"/>
    <w:multiLevelType w:val="hybridMultilevel"/>
    <w:tmpl w:val="0C0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9A6"/>
    <w:multiLevelType w:val="hybridMultilevel"/>
    <w:tmpl w:val="C3286950"/>
    <w:lvl w:ilvl="0" w:tplc="242C23F2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5D6C6E"/>
    <w:multiLevelType w:val="multilevel"/>
    <w:tmpl w:val="1AD6D5D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55FCF"/>
    <w:multiLevelType w:val="multilevel"/>
    <w:tmpl w:val="51963DF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EE55F3"/>
    <w:multiLevelType w:val="hybridMultilevel"/>
    <w:tmpl w:val="0BC2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059BA"/>
    <w:multiLevelType w:val="multilevel"/>
    <w:tmpl w:val="D8C8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40421"/>
    <w:multiLevelType w:val="multilevel"/>
    <w:tmpl w:val="41388FF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747466AD"/>
    <w:multiLevelType w:val="multilevel"/>
    <w:tmpl w:val="A96E5CA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7FA24BBF"/>
    <w:multiLevelType w:val="multilevel"/>
    <w:tmpl w:val="28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8116824">
    <w:abstractNumId w:val="4"/>
  </w:num>
  <w:num w:numId="2" w16cid:durableId="1340430525">
    <w:abstractNumId w:val="5"/>
  </w:num>
  <w:num w:numId="3" w16cid:durableId="374933374">
    <w:abstractNumId w:val="0"/>
  </w:num>
  <w:num w:numId="4" w16cid:durableId="1564094750">
    <w:abstractNumId w:val="9"/>
  </w:num>
  <w:num w:numId="5" w16cid:durableId="1292831591">
    <w:abstractNumId w:val="6"/>
  </w:num>
  <w:num w:numId="6" w16cid:durableId="667639369">
    <w:abstractNumId w:val="8"/>
  </w:num>
  <w:num w:numId="7" w16cid:durableId="1938562279">
    <w:abstractNumId w:val="1"/>
  </w:num>
  <w:num w:numId="8" w16cid:durableId="621687427">
    <w:abstractNumId w:val="2"/>
  </w:num>
  <w:num w:numId="9" w16cid:durableId="1633442725">
    <w:abstractNumId w:val="13"/>
  </w:num>
  <w:num w:numId="10" w16cid:durableId="2066830399">
    <w:abstractNumId w:val="11"/>
  </w:num>
  <w:num w:numId="11" w16cid:durableId="1514996053">
    <w:abstractNumId w:val="7"/>
  </w:num>
  <w:num w:numId="12" w16cid:durableId="220408483">
    <w:abstractNumId w:val="12"/>
  </w:num>
  <w:num w:numId="13" w16cid:durableId="34477126">
    <w:abstractNumId w:val="10"/>
  </w:num>
  <w:num w:numId="14" w16cid:durableId="103115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1DCB"/>
    <w:rsid w:val="00004785"/>
    <w:rsid w:val="000074E7"/>
    <w:rsid w:val="0001787E"/>
    <w:rsid w:val="00020BE7"/>
    <w:rsid w:val="0002133E"/>
    <w:rsid w:val="00021621"/>
    <w:rsid w:val="00027956"/>
    <w:rsid w:val="000324F8"/>
    <w:rsid w:val="00042376"/>
    <w:rsid w:val="00042722"/>
    <w:rsid w:val="00042F3D"/>
    <w:rsid w:val="00046736"/>
    <w:rsid w:val="0005003F"/>
    <w:rsid w:val="00050052"/>
    <w:rsid w:val="00052978"/>
    <w:rsid w:val="00054084"/>
    <w:rsid w:val="000549C0"/>
    <w:rsid w:val="00057347"/>
    <w:rsid w:val="000605E2"/>
    <w:rsid w:val="00060B00"/>
    <w:rsid w:val="000622BB"/>
    <w:rsid w:val="000627A9"/>
    <w:rsid w:val="0006750E"/>
    <w:rsid w:val="0007346E"/>
    <w:rsid w:val="00074C34"/>
    <w:rsid w:val="00075AD5"/>
    <w:rsid w:val="00075E75"/>
    <w:rsid w:val="000848DB"/>
    <w:rsid w:val="0008762C"/>
    <w:rsid w:val="00087AA5"/>
    <w:rsid w:val="00091AFC"/>
    <w:rsid w:val="00095FB3"/>
    <w:rsid w:val="000A0A1A"/>
    <w:rsid w:val="000A21C3"/>
    <w:rsid w:val="000B64B7"/>
    <w:rsid w:val="000C0C99"/>
    <w:rsid w:val="000C0D78"/>
    <w:rsid w:val="000C7C8C"/>
    <w:rsid w:val="000D2861"/>
    <w:rsid w:val="000D53BE"/>
    <w:rsid w:val="000E05CE"/>
    <w:rsid w:val="000E0B31"/>
    <w:rsid w:val="000E52B4"/>
    <w:rsid w:val="000E57F6"/>
    <w:rsid w:val="000F4E98"/>
    <w:rsid w:val="00103C2B"/>
    <w:rsid w:val="0010695E"/>
    <w:rsid w:val="001148D5"/>
    <w:rsid w:val="00115A2D"/>
    <w:rsid w:val="00120565"/>
    <w:rsid w:val="001211F2"/>
    <w:rsid w:val="00125ECA"/>
    <w:rsid w:val="001329F4"/>
    <w:rsid w:val="00135E27"/>
    <w:rsid w:val="00140E59"/>
    <w:rsid w:val="0014190E"/>
    <w:rsid w:val="00145875"/>
    <w:rsid w:val="0015085D"/>
    <w:rsid w:val="001575A4"/>
    <w:rsid w:val="00162D17"/>
    <w:rsid w:val="0016786C"/>
    <w:rsid w:val="00167EFD"/>
    <w:rsid w:val="00175C83"/>
    <w:rsid w:val="001765A7"/>
    <w:rsid w:val="00181C58"/>
    <w:rsid w:val="00194CAA"/>
    <w:rsid w:val="001952E8"/>
    <w:rsid w:val="001958C2"/>
    <w:rsid w:val="00197781"/>
    <w:rsid w:val="001A2B57"/>
    <w:rsid w:val="001A5037"/>
    <w:rsid w:val="001B02AE"/>
    <w:rsid w:val="001B063F"/>
    <w:rsid w:val="001B1799"/>
    <w:rsid w:val="001B3EE1"/>
    <w:rsid w:val="001B510C"/>
    <w:rsid w:val="001B5D3E"/>
    <w:rsid w:val="001C01F2"/>
    <w:rsid w:val="001C28FA"/>
    <w:rsid w:val="001C2AB2"/>
    <w:rsid w:val="001C303D"/>
    <w:rsid w:val="001C5181"/>
    <w:rsid w:val="001C7F79"/>
    <w:rsid w:val="001D2682"/>
    <w:rsid w:val="001D39E8"/>
    <w:rsid w:val="001D48F0"/>
    <w:rsid w:val="001D4C28"/>
    <w:rsid w:val="001E0BAB"/>
    <w:rsid w:val="001E29E0"/>
    <w:rsid w:val="001E4A0D"/>
    <w:rsid w:val="001E5DCA"/>
    <w:rsid w:val="001E69BA"/>
    <w:rsid w:val="001F0B59"/>
    <w:rsid w:val="001F59E4"/>
    <w:rsid w:val="001F5BD4"/>
    <w:rsid w:val="001F6033"/>
    <w:rsid w:val="001F7353"/>
    <w:rsid w:val="00200822"/>
    <w:rsid w:val="00200E02"/>
    <w:rsid w:val="002035D3"/>
    <w:rsid w:val="00205AE1"/>
    <w:rsid w:val="00206026"/>
    <w:rsid w:val="0020752C"/>
    <w:rsid w:val="0021592E"/>
    <w:rsid w:val="00234587"/>
    <w:rsid w:val="00236EFF"/>
    <w:rsid w:val="00237DC0"/>
    <w:rsid w:val="00242AF3"/>
    <w:rsid w:val="00242EFA"/>
    <w:rsid w:val="00246C86"/>
    <w:rsid w:val="00247B74"/>
    <w:rsid w:val="002506F6"/>
    <w:rsid w:val="00252386"/>
    <w:rsid w:val="0025420B"/>
    <w:rsid w:val="002546AE"/>
    <w:rsid w:val="00256E55"/>
    <w:rsid w:val="00257C23"/>
    <w:rsid w:val="0026170C"/>
    <w:rsid w:val="002627AE"/>
    <w:rsid w:val="00263F74"/>
    <w:rsid w:val="002756FD"/>
    <w:rsid w:val="0028434A"/>
    <w:rsid w:val="00285966"/>
    <w:rsid w:val="00286A09"/>
    <w:rsid w:val="00287E3C"/>
    <w:rsid w:val="002906D8"/>
    <w:rsid w:val="00294702"/>
    <w:rsid w:val="00296A7A"/>
    <w:rsid w:val="002A15A6"/>
    <w:rsid w:val="002A3A60"/>
    <w:rsid w:val="002A5E53"/>
    <w:rsid w:val="002B0EDC"/>
    <w:rsid w:val="002B18ED"/>
    <w:rsid w:val="002B2710"/>
    <w:rsid w:val="002B791E"/>
    <w:rsid w:val="002C2523"/>
    <w:rsid w:val="002D12FC"/>
    <w:rsid w:val="002E167A"/>
    <w:rsid w:val="002E329F"/>
    <w:rsid w:val="002E5608"/>
    <w:rsid w:val="002F0024"/>
    <w:rsid w:val="002F019F"/>
    <w:rsid w:val="002F24B5"/>
    <w:rsid w:val="002F4D8F"/>
    <w:rsid w:val="002F4DC4"/>
    <w:rsid w:val="002F79D0"/>
    <w:rsid w:val="00305185"/>
    <w:rsid w:val="00315FBB"/>
    <w:rsid w:val="00316D8F"/>
    <w:rsid w:val="003200A7"/>
    <w:rsid w:val="003205A4"/>
    <w:rsid w:val="00322939"/>
    <w:rsid w:val="003266B1"/>
    <w:rsid w:val="00326964"/>
    <w:rsid w:val="00326AE1"/>
    <w:rsid w:val="003337A5"/>
    <w:rsid w:val="00333845"/>
    <w:rsid w:val="0034119A"/>
    <w:rsid w:val="00344800"/>
    <w:rsid w:val="003501FE"/>
    <w:rsid w:val="00352B7E"/>
    <w:rsid w:val="0035386C"/>
    <w:rsid w:val="0035493F"/>
    <w:rsid w:val="00354A5C"/>
    <w:rsid w:val="003558E9"/>
    <w:rsid w:val="00360295"/>
    <w:rsid w:val="00362160"/>
    <w:rsid w:val="0036221E"/>
    <w:rsid w:val="00367172"/>
    <w:rsid w:val="003748C9"/>
    <w:rsid w:val="003913D2"/>
    <w:rsid w:val="003930BA"/>
    <w:rsid w:val="00394695"/>
    <w:rsid w:val="0039519C"/>
    <w:rsid w:val="003A0F3A"/>
    <w:rsid w:val="003A24B8"/>
    <w:rsid w:val="003A3CC7"/>
    <w:rsid w:val="003A3F6B"/>
    <w:rsid w:val="003A554B"/>
    <w:rsid w:val="003A70EE"/>
    <w:rsid w:val="003A7318"/>
    <w:rsid w:val="003A7E9F"/>
    <w:rsid w:val="003B0C9F"/>
    <w:rsid w:val="003B59A8"/>
    <w:rsid w:val="003C0F39"/>
    <w:rsid w:val="003C3CC3"/>
    <w:rsid w:val="003C72D5"/>
    <w:rsid w:val="003C7C51"/>
    <w:rsid w:val="003D3774"/>
    <w:rsid w:val="003D4AE9"/>
    <w:rsid w:val="003D749A"/>
    <w:rsid w:val="003E03B6"/>
    <w:rsid w:val="003E40C8"/>
    <w:rsid w:val="003E785C"/>
    <w:rsid w:val="003F1560"/>
    <w:rsid w:val="003F3D8B"/>
    <w:rsid w:val="003F7083"/>
    <w:rsid w:val="0040556D"/>
    <w:rsid w:val="0040778F"/>
    <w:rsid w:val="00407DBD"/>
    <w:rsid w:val="00417839"/>
    <w:rsid w:val="00424445"/>
    <w:rsid w:val="00430578"/>
    <w:rsid w:val="00430F93"/>
    <w:rsid w:val="00435218"/>
    <w:rsid w:val="00443874"/>
    <w:rsid w:val="0045314D"/>
    <w:rsid w:val="004572BB"/>
    <w:rsid w:val="004639F8"/>
    <w:rsid w:val="0046614E"/>
    <w:rsid w:val="00471587"/>
    <w:rsid w:val="00473A24"/>
    <w:rsid w:val="00475BB0"/>
    <w:rsid w:val="0048046D"/>
    <w:rsid w:val="00482AFE"/>
    <w:rsid w:val="00483195"/>
    <w:rsid w:val="00486A16"/>
    <w:rsid w:val="004870B5"/>
    <w:rsid w:val="004924C9"/>
    <w:rsid w:val="00495126"/>
    <w:rsid w:val="004956F9"/>
    <w:rsid w:val="00495CB9"/>
    <w:rsid w:val="0049632D"/>
    <w:rsid w:val="00496A10"/>
    <w:rsid w:val="00496DB0"/>
    <w:rsid w:val="004A0479"/>
    <w:rsid w:val="004A06F6"/>
    <w:rsid w:val="004A2148"/>
    <w:rsid w:val="004A5DD8"/>
    <w:rsid w:val="004B3733"/>
    <w:rsid w:val="004B7A93"/>
    <w:rsid w:val="004C3867"/>
    <w:rsid w:val="004C5F90"/>
    <w:rsid w:val="004C76D5"/>
    <w:rsid w:val="004D6116"/>
    <w:rsid w:val="004D6E6F"/>
    <w:rsid w:val="004E0AE7"/>
    <w:rsid w:val="004E2507"/>
    <w:rsid w:val="004E2D5B"/>
    <w:rsid w:val="004E5ECC"/>
    <w:rsid w:val="004F1BEF"/>
    <w:rsid w:val="004F2116"/>
    <w:rsid w:val="004F2E7B"/>
    <w:rsid w:val="004F5400"/>
    <w:rsid w:val="004F5871"/>
    <w:rsid w:val="004F7349"/>
    <w:rsid w:val="00502A6D"/>
    <w:rsid w:val="00502B6E"/>
    <w:rsid w:val="00504EF8"/>
    <w:rsid w:val="005109AD"/>
    <w:rsid w:val="00511702"/>
    <w:rsid w:val="00512DEF"/>
    <w:rsid w:val="00512F2D"/>
    <w:rsid w:val="005137A1"/>
    <w:rsid w:val="00513E4A"/>
    <w:rsid w:val="00523A56"/>
    <w:rsid w:val="00535488"/>
    <w:rsid w:val="00535743"/>
    <w:rsid w:val="00536C36"/>
    <w:rsid w:val="00537960"/>
    <w:rsid w:val="00537A4C"/>
    <w:rsid w:val="00537EF9"/>
    <w:rsid w:val="005451C7"/>
    <w:rsid w:val="00545A13"/>
    <w:rsid w:val="00551DFB"/>
    <w:rsid w:val="00555939"/>
    <w:rsid w:val="005571BA"/>
    <w:rsid w:val="005572FD"/>
    <w:rsid w:val="0056194A"/>
    <w:rsid w:val="00563A62"/>
    <w:rsid w:val="00570B80"/>
    <w:rsid w:val="00571481"/>
    <w:rsid w:val="005738DA"/>
    <w:rsid w:val="00576429"/>
    <w:rsid w:val="00580BA7"/>
    <w:rsid w:val="00583959"/>
    <w:rsid w:val="00583EFA"/>
    <w:rsid w:val="0058487F"/>
    <w:rsid w:val="00584AFF"/>
    <w:rsid w:val="0059072E"/>
    <w:rsid w:val="005A1F85"/>
    <w:rsid w:val="005B17DD"/>
    <w:rsid w:val="005B2281"/>
    <w:rsid w:val="005B611D"/>
    <w:rsid w:val="005B7B0C"/>
    <w:rsid w:val="005C03A3"/>
    <w:rsid w:val="005C18D0"/>
    <w:rsid w:val="005C242A"/>
    <w:rsid w:val="005C468A"/>
    <w:rsid w:val="005D2521"/>
    <w:rsid w:val="005D2ED0"/>
    <w:rsid w:val="005E3661"/>
    <w:rsid w:val="005E5551"/>
    <w:rsid w:val="005E577D"/>
    <w:rsid w:val="005F0002"/>
    <w:rsid w:val="005F35D6"/>
    <w:rsid w:val="005F598C"/>
    <w:rsid w:val="00604850"/>
    <w:rsid w:val="00612E4F"/>
    <w:rsid w:val="00613496"/>
    <w:rsid w:val="006158FD"/>
    <w:rsid w:val="006172B2"/>
    <w:rsid w:val="0062327F"/>
    <w:rsid w:val="00623A08"/>
    <w:rsid w:val="00623A59"/>
    <w:rsid w:val="00623D8E"/>
    <w:rsid w:val="006314F6"/>
    <w:rsid w:val="006345BB"/>
    <w:rsid w:val="00636372"/>
    <w:rsid w:val="0064072F"/>
    <w:rsid w:val="00644EC6"/>
    <w:rsid w:val="00650A98"/>
    <w:rsid w:val="00651C1D"/>
    <w:rsid w:val="00652486"/>
    <w:rsid w:val="00652957"/>
    <w:rsid w:val="00655A4F"/>
    <w:rsid w:val="0065713F"/>
    <w:rsid w:val="00665F63"/>
    <w:rsid w:val="00667983"/>
    <w:rsid w:val="00670552"/>
    <w:rsid w:val="00672987"/>
    <w:rsid w:val="006772AD"/>
    <w:rsid w:val="006815E5"/>
    <w:rsid w:val="00683BBB"/>
    <w:rsid w:val="00684ED2"/>
    <w:rsid w:val="00685349"/>
    <w:rsid w:val="00694BE1"/>
    <w:rsid w:val="00695D22"/>
    <w:rsid w:val="006B1991"/>
    <w:rsid w:val="006B3971"/>
    <w:rsid w:val="006B6351"/>
    <w:rsid w:val="006C09E6"/>
    <w:rsid w:val="006C1ACF"/>
    <w:rsid w:val="006C3277"/>
    <w:rsid w:val="006D5DBA"/>
    <w:rsid w:val="006D6665"/>
    <w:rsid w:val="006E07E5"/>
    <w:rsid w:val="006E2F46"/>
    <w:rsid w:val="006E3AAC"/>
    <w:rsid w:val="006F0FFB"/>
    <w:rsid w:val="006F3D97"/>
    <w:rsid w:val="006F3F5B"/>
    <w:rsid w:val="007011E0"/>
    <w:rsid w:val="00702708"/>
    <w:rsid w:val="007038A1"/>
    <w:rsid w:val="007061CC"/>
    <w:rsid w:val="0070698A"/>
    <w:rsid w:val="00707020"/>
    <w:rsid w:val="00712498"/>
    <w:rsid w:val="00717847"/>
    <w:rsid w:val="00720244"/>
    <w:rsid w:val="007206B0"/>
    <w:rsid w:val="00721487"/>
    <w:rsid w:val="00724415"/>
    <w:rsid w:val="00725094"/>
    <w:rsid w:val="00725BBD"/>
    <w:rsid w:val="00730D6C"/>
    <w:rsid w:val="0073155D"/>
    <w:rsid w:val="007319F5"/>
    <w:rsid w:val="007364DE"/>
    <w:rsid w:val="00741582"/>
    <w:rsid w:val="00742FC1"/>
    <w:rsid w:val="00746310"/>
    <w:rsid w:val="00747C09"/>
    <w:rsid w:val="007535A8"/>
    <w:rsid w:val="00753887"/>
    <w:rsid w:val="007543CF"/>
    <w:rsid w:val="00756DE1"/>
    <w:rsid w:val="00757BC4"/>
    <w:rsid w:val="00761820"/>
    <w:rsid w:val="00762461"/>
    <w:rsid w:val="00762695"/>
    <w:rsid w:val="00767D1F"/>
    <w:rsid w:val="007727B4"/>
    <w:rsid w:val="007759F4"/>
    <w:rsid w:val="00777FB8"/>
    <w:rsid w:val="007801A5"/>
    <w:rsid w:val="00780F02"/>
    <w:rsid w:val="00782B4F"/>
    <w:rsid w:val="007872D8"/>
    <w:rsid w:val="00787D10"/>
    <w:rsid w:val="007928DA"/>
    <w:rsid w:val="00793349"/>
    <w:rsid w:val="007940D3"/>
    <w:rsid w:val="007974EF"/>
    <w:rsid w:val="00797E55"/>
    <w:rsid w:val="007A4B3A"/>
    <w:rsid w:val="007B0CB6"/>
    <w:rsid w:val="007B1CF0"/>
    <w:rsid w:val="007B1F5A"/>
    <w:rsid w:val="007B3326"/>
    <w:rsid w:val="007B7AAF"/>
    <w:rsid w:val="007C1176"/>
    <w:rsid w:val="007C150C"/>
    <w:rsid w:val="007C1D9C"/>
    <w:rsid w:val="007C40D0"/>
    <w:rsid w:val="007D2CA5"/>
    <w:rsid w:val="007D71E2"/>
    <w:rsid w:val="007E3420"/>
    <w:rsid w:val="007F6CF6"/>
    <w:rsid w:val="007F7D4D"/>
    <w:rsid w:val="008027BA"/>
    <w:rsid w:val="008028E2"/>
    <w:rsid w:val="008028FB"/>
    <w:rsid w:val="00803656"/>
    <w:rsid w:val="008065A8"/>
    <w:rsid w:val="0081088C"/>
    <w:rsid w:val="00815D0E"/>
    <w:rsid w:val="008244E9"/>
    <w:rsid w:val="00833F83"/>
    <w:rsid w:val="00836D77"/>
    <w:rsid w:val="00840CE6"/>
    <w:rsid w:val="0084493A"/>
    <w:rsid w:val="00850800"/>
    <w:rsid w:val="00855A34"/>
    <w:rsid w:val="00857DF1"/>
    <w:rsid w:val="00860108"/>
    <w:rsid w:val="00863F4D"/>
    <w:rsid w:val="00866971"/>
    <w:rsid w:val="0087751F"/>
    <w:rsid w:val="00880B8B"/>
    <w:rsid w:val="00880F61"/>
    <w:rsid w:val="00884311"/>
    <w:rsid w:val="00886DC5"/>
    <w:rsid w:val="0089001B"/>
    <w:rsid w:val="0089164B"/>
    <w:rsid w:val="00892591"/>
    <w:rsid w:val="008A3119"/>
    <w:rsid w:val="008A64DA"/>
    <w:rsid w:val="008B01A3"/>
    <w:rsid w:val="008B115E"/>
    <w:rsid w:val="008B353D"/>
    <w:rsid w:val="008C0BB6"/>
    <w:rsid w:val="008C23AE"/>
    <w:rsid w:val="008C2D61"/>
    <w:rsid w:val="008C5CE1"/>
    <w:rsid w:val="008C6F5D"/>
    <w:rsid w:val="008C7418"/>
    <w:rsid w:val="008D0DBA"/>
    <w:rsid w:val="008D5DFB"/>
    <w:rsid w:val="008E5FCB"/>
    <w:rsid w:val="008F0206"/>
    <w:rsid w:val="008F16E6"/>
    <w:rsid w:val="00900215"/>
    <w:rsid w:val="009052A2"/>
    <w:rsid w:val="00906125"/>
    <w:rsid w:val="009074F3"/>
    <w:rsid w:val="00907C70"/>
    <w:rsid w:val="009122E4"/>
    <w:rsid w:val="009158CB"/>
    <w:rsid w:val="009205C0"/>
    <w:rsid w:val="009205ED"/>
    <w:rsid w:val="009232EA"/>
    <w:rsid w:val="00923BBA"/>
    <w:rsid w:val="009248EE"/>
    <w:rsid w:val="00927A02"/>
    <w:rsid w:val="00930CD8"/>
    <w:rsid w:val="0093569B"/>
    <w:rsid w:val="00937CAB"/>
    <w:rsid w:val="00937DEB"/>
    <w:rsid w:val="00944A70"/>
    <w:rsid w:val="00944B95"/>
    <w:rsid w:val="00944C7A"/>
    <w:rsid w:val="009458FA"/>
    <w:rsid w:val="009501ED"/>
    <w:rsid w:val="009579EF"/>
    <w:rsid w:val="00961CDA"/>
    <w:rsid w:val="009630A9"/>
    <w:rsid w:val="0096537B"/>
    <w:rsid w:val="009668E7"/>
    <w:rsid w:val="009701DB"/>
    <w:rsid w:val="009707FD"/>
    <w:rsid w:val="00972879"/>
    <w:rsid w:val="009746B8"/>
    <w:rsid w:val="00981686"/>
    <w:rsid w:val="00981F59"/>
    <w:rsid w:val="00983F1F"/>
    <w:rsid w:val="009862F3"/>
    <w:rsid w:val="009917D6"/>
    <w:rsid w:val="00993374"/>
    <w:rsid w:val="009C54A7"/>
    <w:rsid w:val="009D3CE2"/>
    <w:rsid w:val="009D4735"/>
    <w:rsid w:val="009D75DF"/>
    <w:rsid w:val="009E2408"/>
    <w:rsid w:val="009E35D8"/>
    <w:rsid w:val="009F0CC7"/>
    <w:rsid w:val="009F18C8"/>
    <w:rsid w:val="009F33C7"/>
    <w:rsid w:val="009F3BDA"/>
    <w:rsid w:val="009F417C"/>
    <w:rsid w:val="00A00C3A"/>
    <w:rsid w:val="00A021A6"/>
    <w:rsid w:val="00A12B99"/>
    <w:rsid w:val="00A13B40"/>
    <w:rsid w:val="00A14561"/>
    <w:rsid w:val="00A1554A"/>
    <w:rsid w:val="00A17BAA"/>
    <w:rsid w:val="00A20278"/>
    <w:rsid w:val="00A21591"/>
    <w:rsid w:val="00A31F53"/>
    <w:rsid w:val="00A36447"/>
    <w:rsid w:val="00A455A2"/>
    <w:rsid w:val="00A4683C"/>
    <w:rsid w:val="00A508AD"/>
    <w:rsid w:val="00A52862"/>
    <w:rsid w:val="00A5690F"/>
    <w:rsid w:val="00A61BD4"/>
    <w:rsid w:val="00A65EF4"/>
    <w:rsid w:val="00A73160"/>
    <w:rsid w:val="00A74290"/>
    <w:rsid w:val="00A7646D"/>
    <w:rsid w:val="00A765B4"/>
    <w:rsid w:val="00A76820"/>
    <w:rsid w:val="00A81E8F"/>
    <w:rsid w:val="00A83C7C"/>
    <w:rsid w:val="00A83F0A"/>
    <w:rsid w:val="00A85C04"/>
    <w:rsid w:val="00A91A3F"/>
    <w:rsid w:val="00A91F91"/>
    <w:rsid w:val="00A96868"/>
    <w:rsid w:val="00AA1083"/>
    <w:rsid w:val="00AA2C1D"/>
    <w:rsid w:val="00AA37C5"/>
    <w:rsid w:val="00AA41A6"/>
    <w:rsid w:val="00AA4EF8"/>
    <w:rsid w:val="00AB7196"/>
    <w:rsid w:val="00AB7E6D"/>
    <w:rsid w:val="00AC21D3"/>
    <w:rsid w:val="00AC2B89"/>
    <w:rsid w:val="00AC7A58"/>
    <w:rsid w:val="00AD5BAD"/>
    <w:rsid w:val="00AD7EDC"/>
    <w:rsid w:val="00AE0F07"/>
    <w:rsid w:val="00AE1310"/>
    <w:rsid w:val="00AE1321"/>
    <w:rsid w:val="00AE1405"/>
    <w:rsid w:val="00AE1D1F"/>
    <w:rsid w:val="00AE4E3C"/>
    <w:rsid w:val="00AE59E9"/>
    <w:rsid w:val="00AF02F5"/>
    <w:rsid w:val="00AF2948"/>
    <w:rsid w:val="00AF6380"/>
    <w:rsid w:val="00AF727E"/>
    <w:rsid w:val="00AF7319"/>
    <w:rsid w:val="00B04FAB"/>
    <w:rsid w:val="00B10E36"/>
    <w:rsid w:val="00B1402A"/>
    <w:rsid w:val="00B1469E"/>
    <w:rsid w:val="00B22596"/>
    <w:rsid w:val="00B25C48"/>
    <w:rsid w:val="00B367E0"/>
    <w:rsid w:val="00B41A3D"/>
    <w:rsid w:val="00B43B6C"/>
    <w:rsid w:val="00B47FCF"/>
    <w:rsid w:val="00B501F8"/>
    <w:rsid w:val="00B52BF9"/>
    <w:rsid w:val="00B57211"/>
    <w:rsid w:val="00B6013A"/>
    <w:rsid w:val="00B606F3"/>
    <w:rsid w:val="00B61C9D"/>
    <w:rsid w:val="00B64A91"/>
    <w:rsid w:val="00B66F89"/>
    <w:rsid w:val="00B7321E"/>
    <w:rsid w:val="00B76F24"/>
    <w:rsid w:val="00B8010D"/>
    <w:rsid w:val="00B811BC"/>
    <w:rsid w:val="00B84E84"/>
    <w:rsid w:val="00B85B80"/>
    <w:rsid w:val="00B863CF"/>
    <w:rsid w:val="00B8706A"/>
    <w:rsid w:val="00B91308"/>
    <w:rsid w:val="00BA08B7"/>
    <w:rsid w:val="00BA3F8D"/>
    <w:rsid w:val="00BA3F8E"/>
    <w:rsid w:val="00BA40A5"/>
    <w:rsid w:val="00BA51BD"/>
    <w:rsid w:val="00BA631B"/>
    <w:rsid w:val="00BB4A9C"/>
    <w:rsid w:val="00BB52C8"/>
    <w:rsid w:val="00BB65F9"/>
    <w:rsid w:val="00BE3B2F"/>
    <w:rsid w:val="00BE5A32"/>
    <w:rsid w:val="00BE7769"/>
    <w:rsid w:val="00BF0467"/>
    <w:rsid w:val="00BF05A7"/>
    <w:rsid w:val="00BF38EB"/>
    <w:rsid w:val="00BF5C91"/>
    <w:rsid w:val="00C02EA9"/>
    <w:rsid w:val="00C03FD7"/>
    <w:rsid w:val="00C041FE"/>
    <w:rsid w:val="00C062E6"/>
    <w:rsid w:val="00C10830"/>
    <w:rsid w:val="00C108D9"/>
    <w:rsid w:val="00C121FC"/>
    <w:rsid w:val="00C131E1"/>
    <w:rsid w:val="00C14AC2"/>
    <w:rsid w:val="00C16E76"/>
    <w:rsid w:val="00C228E9"/>
    <w:rsid w:val="00C239BE"/>
    <w:rsid w:val="00C262A2"/>
    <w:rsid w:val="00C327D3"/>
    <w:rsid w:val="00C359A4"/>
    <w:rsid w:val="00C40F12"/>
    <w:rsid w:val="00C426AE"/>
    <w:rsid w:val="00C504EB"/>
    <w:rsid w:val="00C5644B"/>
    <w:rsid w:val="00C574F8"/>
    <w:rsid w:val="00C60D17"/>
    <w:rsid w:val="00C62037"/>
    <w:rsid w:val="00C652E6"/>
    <w:rsid w:val="00C70814"/>
    <w:rsid w:val="00C727F9"/>
    <w:rsid w:val="00C80698"/>
    <w:rsid w:val="00C8094D"/>
    <w:rsid w:val="00C826AC"/>
    <w:rsid w:val="00C852E6"/>
    <w:rsid w:val="00C90E30"/>
    <w:rsid w:val="00C939D3"/>
    <w:rsid w:val="00C94C51"/>
    <w:rsid w:val="00C97961"/>
    <w:rsid w:val="00C97A30"/>
    <w:rsid w:val="00C97C10"/>
    <w:rsid w:val="00CA6BB2"/>
    <w:rsid w:val="00CB3679"/>
    <w:rsid w:val="00CB5E75"/>
    <w:rsid w:val="00CB6B0F"/>
    <w:rsid w:val="00CC1572"/>
    <w:rsid w:val="00CC1904"/>
    <w:rsid w:val="00CC423F"/>
    <w:rsid w:val="00CC6F8A"/>
    <w:rsid w:val="00CC74EF"/>
    <w:rsid w:val="00CD1E42"/>
    <w:rsid w:val="00CF0954"/>
    <w:rsid w:val="00CF5466"/>
    <w:rsid w:val="00D06880"/>
    <w:rsid w:val="00D0739C"/>
    <w:rsid w:val="00D138BB"/>
    <w:rsid w:val="00D141AF"/>
    <w:rsid w:val="00D17A4F"/>
    <w:rsid w:val="00D2176B"/>
    <w:rsid w:val="00D24A49"/>
    <w:rsid w:val="00D261F6"/>
    <w:rsid w:val="00D30221"/>
    <w:rsid w:val="00D303BD"/>
    <w:rsid w:val="00D33E4A"/>
    <w:rsid w:val="00D40F42"/>
    <w:rsid w:val="00D41F17"/>
    <w:rsid w:val="00D42E58"/>
    <w:rsid w:val="00D44BA4"/>
    <w:rsid w:val="00D45728"/>
    <w:rsid w:val="00D459D1"/>
    <w:rsid w:val="00D479FF"/>
    <w:rsid w:val="00D52229"/>
    <w:rsid w:val="00D5531F"/>
    <w:rsid w:val="00D565FF"/>
    <w:rsid w:val="00D64543"/>
    <w:rsid w:val="00D7262F"/>
    <w:rsid w:val="00D76DB5"/>
    <w:rsid w:val="00D779A3"/>
    <w:rsid w:val="00D8109D"/>
    <w:rsid w:val="00D84BA3"/>
    <w:rsid w:val="00D92755"/>
    <w:rsid w:val="00DA0172"/>
    <w:rsid w:val="00DA15E8"/>
    <w:rsid w:val="00DA20C6"/>
    <w:rsid w:val="00DA5172"/>
    <w:rsid w:val="00DA5C1F"/>
    <w:rsid w:val="00DB0752"/>
    <w:rsid w:val="00DB0B6C"/>
    <w:rsid w:val="00DB2DC5"/>
    <w:rsid w:val="00DB62E7"/>
    <w:rsid w:val="00DC325C"/>
    <w:rsid w:val="00DC5A44"/>
    <w:rsid w:val="00DC71A3"/>
    <w:rsid w:val="00DD1E99"/>
    <w:rsid w:val="00DD4AA1"/>
    <w:rsid w:val="00DE2C7E"/>
    <w:rsid w:val="00DE5CAD"/>
    <w:rsid w:val="00DF0386"/>
    <w:rsid w:val="00DF1763"/>
    <w:rsid w:val="00DF1DB3"/>
    <w:rsid w:val="00DF5CF2"/>
    <w:rsid w:val="00DF6253"/>
    <w:rsid w:val="00DF648A"/>
    <w:rsid w:val="00DF6867"/>
    <w:rsid w:val="00DF7B91"/>
    <w:rsid w:val="00E02C4E"/>
    <w:rsid w:val="00E05C59"/>
    <w:rsid w:val="00E0610D"/>
    <w:rsid w:val="00E06A13"/>
    <w:rsid w:val="00E06C24"/>
    <w:rsid w:val="00E11761"/>
    <w:rsid w:val="00E14EE2"/>
    <w:rsid w:val="00E15EC0"/>
    <w:rsid w:val="00E21FB7"/>
    <w:rsid w:val="00E2594B"/>
    <w:rsid w:val="00E30252"/>
    <w:rsid w:val="00E32575"/>
    <w:rsid w:val="00E33D17"/>
    <w:rsid w:val="00E42C07"/>
    <w:rsid w:val="00E4396C"/>
    <w:rsid w:val="00E45C6D"/>
    <w:rsid w:val="00E45CFB"/>
    <w:rsid w:val="00E45EFF"/>
    <w:rsid w:val="00E47ADE"/>
    <w:rsid w:val="00E54313"/>
    <w:rsid w:val="00E54A56"/>
    <w:rsid w:val="00E54C6E"/>
    <w:rsid w:val="00E55668"/>
    <w:rsid w:val="00E5573B"/>
    <w:rsid w:val="00E55F41"/>
    <w:rsid w:val="00E60946"/>
    <w:rsid w:val="00E618EB"/>
    <w:rsid w:val="00E6601A"/>
    <w:rsid w:val="00E66793"/>
    <w:rsid w:val="00E67144"/>
    <w:rsid w:val="00E673AE"/>
    <w:rsid w:val="00E73F81"/>
    <w:rsid w:val="00E74639"/>
    <w:rsid w:val="00E80075"/>
    <w:rsid w:val="00E90AE8"/>
    <w:rsid w:val="00E918A5"/>
    <w:rsid w:val="00E928F5"/>
    <w:rsid w:val="00E92B52"/>
    <w:rsid w:val="00E93EA7"/>
    <w:rsid w:val="00E94FEE"/>
    <w:rsid w:val="00EB5592"/>
    <w:rsid w:val="00ED001A"/>
    <w:rsid w:val="00ED7540"/>
    <w:rsid w:val="00ED7923"/>
    <w:rsid w:val="00ED7CE2"/>
    <w:rsid w:val="00ED7F61"/>
    <w:rsid w:val="00EE1B91"/>
    <w:rsid w:val="00EE51F0"/>
    <w:rsid w:val="00EE55DE"/>
    <w:rsid w:val="00EE5FBD"/>
    <w:rsid w:val="00EE6C9B"/>
    <w:rsid w:val="00EF2941"/>
    <w:rsid w:val="00F00024"/>
    <w:rsid w:val="00F1072F"/>
    <w:rsid w:val="00F12DCC"/>
    <w:rsid w:val="00F1370B"/>
    <w:rsid w:val="00F156A4"/>
    <w:rsid w:val="00F1580D"/>
    <w:rsid w:val="00F20989"/>
    <w:rsid w:val="00F21FA8"/>
    <w:rsid w:val="00F25210"/>
    <w:rsid w:val="00F26401"/>
    <w:rsid w:val="00F26D35"/>
    <w:rsid w:val="00F32B29"/>
    <w:rsid w:val="00F33FF8"/>
    <w:rsid w:val="00F419AA"/>
    <w:rsid w:val="00F41F7B"/>
    <w:rsid w:val="00F42758"/>
    <w:rsid w:val="00F439ED"/>
    <w:rsid w:val="00F46A7A"/>
    <w:rsid w:val="00F52E67"/>
    <w:rsid w:val="00F60BDF"/>
    <w:rsid w:val="00F60CBD"/>
    <w:rsid w:val="00F621CE"/>
    <w:rsid w:val="00F646DD"/>
    <w:rsid w:val="00F6680C"/>
    <w:rsid w:val="00F66B46"/>
    <w:rsid w:val="00F70B7C"/>
    <w:rsid w:val="00F72ABC"/>
    <w:rsid w:val="00F743BD"/>
    <w:rsid w:val="00F7530D"/>
    <w:rsid w:val="00F8145C"/>
    <w:rsid w:val="00F855A3"/>
    <w:rsid w:val="00F95DF1"/>
    <w:rsid w:val="00FA17AA"/>
    <w:rsid w:val="00FA543D"/>
    <w:rsid w:val="00FA7A92"/>
    <w:rsid w:val="00FB225E"/>
    <w:rsid w:val="00FB5A7A"/>
    <w:rsid w:val="00FB61E7"/>
    <w:rsid w:val="00FC0E6D"/>
    <w:rsid w:val="00FC44EA"/>
    <w:rsid w:val="00FC48CC"/>
    <w:rsid w:val="00FD3165"/>
    <w:rsid w:val="00FD7804"/>
    <w:rsid w:val="00FE1EFB"/>
    <w:rsid w:val="00FE3E29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1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5F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7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7B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1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Sheet1!$C$59</c:f>
              <c:strCache>
                <c:ptCount val="1"/>
                <c:pt idx="0">
                  <c:v>Број подржаних пројеката и износ додељених средстава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3AA-42B3-9A88-96A6B5C424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3AA-42B3-9A88-96A6B5C424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3AA-42B3-9A88-96A6B5C424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3AA-42B3-9A88-96A6B5C424F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3AA-42B3-9A88-96A6B5C424F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3AA-42B3-9A88-96A6B5C424F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3AA-42B3-9A88-96A6B5C424F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73AA-42B3-9A88-96A6B5C424F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73AA-42B3-9A88-96A6B5C424F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73AA-42B3-9A88-96A6B5C424F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73AA-42B3-9A88-96A6B5C424F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73AA-42B3-9A88-96A6B5C424F3}"/>
              </c:ext>
            </c:extLst>
          </c:dPt>
          <c:dLbls>
            <c:dLbl>
              <c:idx val="1"/>
              <c:layout>
                <c:manualLayout>
                  <c:x val="-0.11910345581802274"/>
                  <c:y val="9.311934966462520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AA-42B3-9A88-96A6B5C424F3}"/>
                </c:ext>
              </c:extLst>
            </c:dLbl>
            <c:dLbl>
              <c:idx val="2"/>
              <c:layout>
                <c:manualLayout>
                  <c:x val="-4.4444881889763782E-2"/>
                  <c:y val="8.13564450277048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AA-42B3-9A88-96A6B5C424F3}"/>
                </c:ext>
              </c:extLst>
            </c:dLbl>
            <c:dLbl>
              <c:idx val="4"/>
              <c:layout>
                <c:manualLayout>
                  <c:x val="-8.9946412948381446E-2"/>
                  <c:y val="3.028178769320501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AA-42B3-9A88-96A6B5C424F3}"/>
                </c:ext>
              </c:extLst>
            </c:dLbl>
            <c:dLbl>
              <c:idx val="5"/>
              <c:layout>
                <c:manualLayout>
                  <c:x val="-5.5466535433070868E-2"/>
                  <c:y val="-4.253098571011956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AA-42B3-9A88-96A6B5C424F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Sheet1!$A$60:$A$71</c:f>
              <c:numCache>
                <c:formatCode>#,##0.00</c:formatCode>
                <c:ptCount val="12"/>
                <c:pt idx="0">
                  <c:v>250000</c:v>
                </c:pt>
                <c:pt idx="1">
                  <c:v>300000</c:v>
                </c:pt>
                <c:pt idx="2">
                  <c:v>350000</c:v>
                </c:pt>
                <c:pt idx="3">
                  <c:v>500000</c:v>
                </c:pt>
                <c:pt idx="4">
                  <c:v>400000</c:v>
                </c:pt>
                <c:pt idx="5">
                  <c:v>450000</c:v>
                </c:pt>
                <c:pt idx="6">
                  <c:v>600000</c:v>
                </c:pt>
                <c:pt idx="7">
                  <c:v>650000</c:v>
                </c:pt>
                <c:pt idx="8">
                  <c:v>700000</c:v>
                </c:pt>
                <c:pt idx="9">
                  <c:v>800000</c:v>
                </c:pt>
                <c:pt idx="10">
                  <c:v>1000000</c:v>
                </c:pt>
                <c:pt idx="11">
                  <c:v>2000000</c:v>
                </c:pt>
              </c:numCache>
            </c:numRef>
          </c:cat>
          <c:val>
            <c:numRef>
              <c:f>Sheet1!$A$60:$A$71</c:f>
              <c:numCache>
                <c:formatCode>#,##0.00</c:formatCode>
                <c:ptCount val="12"/>
                <c:pt idx="0">
                  <c:v>250000</c:v>
                </c:pt>
                <c:pt idx="1">
                  <c:v>300000</c:v>
                </c:pt>
                <c:pt idx="2">
                  <c:v>350000</c:v>
                </c:pt>
                <c:pt idx="3">
                  <c:v>500000</c:v>
                </c:pt>
                <c:pt idx="4">
                  <c:v>400000</c:v>
                </c:pt>
                <c:pt idx="5">
                  <c:v>450000</c:v>
                </c:pt>
                <c:pt idx="6">
                  <c:v>600000</c:v>
                </c:pt>
                <c:pt idx="7">
                  <c:v>650000</c:v>
                </c:pt>
                <c:pt idx="8">
                  <c:v>700000</c:v>
                </c:pt>
                <c:pt idx="9">
                  <c:v>800000</c:v>
                </c:pt>
                <c:pt idx="10">
                  <c:v>1000000</c:v>
                </c:pt>
                <c:pt idx="11">
                  <c:v>2000000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3AA-42B3-9A88-96A6B5C424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Sheet1!$B$59</c15:sqref>
                        </c15:formulaRef>
                      </c:ext>
                    </c:extLst>
                    <c:strCache>
                      <c:ptCount val="1"/>
                      <c:pt idx="0">
                        <c:v>Број подржаних пројеката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1A-73AA-42B3-9A88-96A6B5C424F3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1C-73AA-42B3-9A88-96A6B5C424F3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1E-73AA-42B3-9A88-96A6B5C424F3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0-73AA-42B3-9A88-96A6B5C424F3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2-73AA-42B3-9A88-96A6B5C424F3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4-73AA-42B3-9A88-96A6B5C424F3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6-73AA-42B3-9A88-96A6B5C424F3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8-73AA-42B3-9A88-96A6B5C424F3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A-73AA-42B3-9A88-96A6B5C424F3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C-73AA-42B3-9A88-96A6B5C424F3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2E-73AA-42B3-9A88-96A6B5C424F3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  <a:sp3d/>
                  </c:spPr>
                  <c:extLst>
                    <c:ext xmlns:c16="http://schemas.microsoft.com/office/drawing/2014/chart" uri="{C3380CC4-5D6E-409C-BE32-E72D297353CC}">
                      <c16:uniqueId val="{00000030-73AA-42B3-9A88-96A6B5C424F3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Sheet1!$A$60:$A$71</c15:sqref>
                        </c15:formulaRef>
                      </c:ext>
                    </c:extLst>
                    <c:numCache>
                      <c:formatCode>#,##0.00</c:formatCode>
                      <c:ptCount val="12"/>
                      <c:pt idx="0">
                        <c:v>250000</c:v>
                      </c:pt>
                      <c:pt idx="1">
                        <c:v>300000</c:v>
                      </c:pt>
                      <c:pt idx="2">
                        <c:v>350000</c:v>
                      </c:pt>
                      <c:pt idx="3">
                        <c:v>500000</c:v>
                      </c:pt>
                      <c:pt idx="4">
                        <c:v>400000</c:v>
                      </c:pt>
                      <c:pt idx="5">
                        <c:v>450000</c:v>
                      </c:pt>
                      <c:pt idx="6">
                        <c:v>600000</c:v>
                      </c:pt>
                      <c:pt idx="7">
                        <c:v>650000</c:v>
                      </c:pt>
                      <c:pt idx="8">
                        <c:v>700000</c:v>
                      </c:pt>
                      <c:pt idx="9">
                        <c:v>800000</c:v>
                      </c:pt>
                      <c:pt idx="10">
                        <c:v>1000000</c:v>
                      </c:pt>
                      <c:pt idx="11">
                        <c:v>2000000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Sheet1!$B$60:$B$71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9</c:v>
                      </c:pt>
                      <c:pt idx="4">
                        <c:v>5</c:v>
                      </c:pt>
                      <c:pt idx="5">
                        <c:v>5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1</c:v>
                      </c:pt>
                      <c:pt idx="10">
                        <c:v>1</c:v>
                      </c:pt>
                      <c:pt idx="11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31-73AA-42B3-9A88-96A6B5C424F3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Област подржаних пројеката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Sheet1!$B$75</c:f>
              <c:strCache>
                <c:ptCount val="1"/>
                <c:pt idx="0">
                  <c:v>Број подржаних пројеката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Sheet1!$A$76:$A$96</c:f>
              <c:strCache>
                <c:ptCount val="21"/>
                <c:pt idx="0">
                  <c:v>Инклузивно образовање</c:v>
                </c:pt>
                <c:pt idx="1">
                  <c:v>Безбедност</c:v>
                </c:pt>
                <c:pt idx="2">
                  <c:v>Очување националног, културног и језичког идентитета националних мањина</c:v>
                </c:pt>
                <c:pt idx="3">
                  <c:v>Село и пољопривредни потенцијали</c:v>
                </c:pt>
                <c:pt idx="4">
                  <c:v>Анфирмативни садржаји за младе</c:v>
                </c:pt>
                <c:pt idx="5">
                  <c:v>Дневно информисање</c:v>
                </c:pt>
                <c:pt idx="6">
                  <c:v>Политичка, међунационална, верска и полна толеранције и разумевање</c:v>
                </c:pt>
                <c:pt idx="7">
                  <c:v>Унапређење капацитета новинара</c:v>
                </c:pt>
                <c:pt idx="8">
                  <c:v>Култура сећања</c:v>
                </c:pt>
                <c:pt idx="9">
                  <c:v>Спорт и физичка култура</c:v>
                </c:pt>
                <c:pt idx="10">
                  <c:v>Насиље</c:v>
                </c:pt>
                <c:pt idx="11">
                  <c:v>Јавно здравље и здравствене потребе становништва</c:v>
                </c:pt>
                <c:pt idx="12">
                  <c:v>Приступачност и универзални дизајн</c:v>
                </c:pt>
                <c:pt idx="13">
                  <c:v>Социо-економски статус новинара</c:v>
                </c:pt>
                <c:pt idx="14">
                  <c:v>Предузетништво</c:v>
                </c:pt>
                <c:pt idx="15">
                  <c:v>Млади</c:v>
                </c:pt>
                <c:pt idx="16">
                  <c:v>Осетљиве групе - људска права</c:v>
                </c:pt>
                <c:pt idx="17">
                  <c:v>ОСИ</c:v>
                </c:pt>
                <c:pt idx="18">
                  <c:v>Заштита животне средине</c:v>
                </c:pt>
                <c:pt idx="19">
                  <c:v>Родна равноправност</c:v>
                </c:pt>
                <c:pt idx="20">
                  <c:v>Култура</c:v>
                </c:pt>
              </c:strCache>
            </c:strRef>
          </c:cat>
          <c:val>
            <c:numRef>
              <c:f>Sheet1!$B$76:$B$96</c:f>
              <c:numCache>
                <c:formatCode>General</c:formatCode>
                <c:ptCount val="21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6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8-42A9-BA39-3EFE79968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5001888"/>
        <c:axId val="275002368"/>
      </c:barChart>
      <c:catAx>
        <c:axId val="275001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002368"/>
        <c:crosses val="autoZero"/>
        <c:auto val="1"/>
        <c:lblAlgn val="ctr"/>
        <c:lblOffset val="100"/>
        <c:noMultiLvlLbl val="0"/>
      </c:catAx>
      <c:valAx>
        <c:axId val="275002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00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2</cp:revision>
  <dcterms:created xsi:type="dcterms:W3CDTF">2026-01-22T10:08:00Z</dcterms:created>
  <dcterms:modified xsi:type="dcterms:W3CDTF">2026-01-22T10:08:00Z</dcterms:modified>
</cp:coreProperties>
</file>